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66CC60" w14:textId="28078D87" w:rsidR="000611C6" w:rsidRPr="000611C6" w:rsidRDefault="000611C6" w:rsidP="000611C6">
      <w:pPr>
        <w:pStyle w:val="NoSpacing"/>
        <w:contextualSpacing/>
        <w:jc w:val="both"/>
        <w:rPr>
          <w:rFonts w:ascii="Arial" w:hAnsi="Arial" w:cs="Arial"/>
          <w:b/>
          <w:sz w:val="28"/>
          <w:szCs w:val="28"/>
          <w:lang w:val="en-GB"/>
        </w:rPr>
      </w:pPr>
      <w:r w:rsidRPr="000611C6">
        <w:rPr>
          <w:rFonts w:ascii="Arial" w:hAnsi="Arial" w:cs="Arial"/>
          <w:b/>
          <w:sz w:val="28"/>
          <w:szCs w:val="28"/>
          <w:lang w:val="en-GB"/>
        </w:rPr>
        <w:t>3GPP TSG RAN WG4 #</w:t>
      </w:r>
      <w:r w:rsidR="00D0322E">
        <w:rPr>
          <w:rFonts w:ascii="Arial" w:hAnsi="Arial" w:cs="Arial"/>
          <w:b/>
          <w:sz w:val="28"/>
          <w:szCs w:val="28"/>
          <w:lang w:val="en-GB"/>
        </w:rPr>
        <w:t>113</w:t>
      </w:r>
      <w:r w:rsidRPr="000611C6">
        <w:rPr>
          <w:rFonts w:ascii="Arial" w:hAnsi="Arial" w:cs="Arial"/>
          <w:b/>
          <w:sz w:val="28"/>
          <w:szCs w:val="28"/>
          <w:lang w:val="en-GB"/>
        </w:rPr>
        <w:tab/>
      </w:r>
      <w:r w:rsidRPr="000611C6">
        <w:rPr>
          <w:rFonts w:ascii="Arial" w:hAnsi="Arial" w:cs="Arial"/>
          <w:b/>
          <w:sz w:val="28"/>
          <w:szCs w:val="28"/>
          <w:lang w:val="en-GB"/>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Pr>
          <w:rFonts w:ascii="Arial" w:hAnsi="Arial" w:cs="Arial"/>
          <w:b/>
          <w:sz w:val="28"/>
          <w:szCs w:val="28"/>
          <w:lang w:val="en-GB" w:eastAsia="zh-CN"/>
        </w:rPr>
        <w:t xml:space="preserve">     </w:t>
      </w:r>
      <w:r w:rsidR="00183D5B">
        <w:rPr>
          <w:rFonts w:ascii="Arial" w:hAnsi="Arial" w:cs="Arial"/>
          <w:b/>
          <w:sz w:val="28"/>
          <w:szCs w:val="28"/>
          <w:lang w:val="en-GB" w:eastAsia="zh-CN"/>
        </w:rPr>
        <w:t xml:space="preserve">       </w:t>
      </w:r>
      <w:r w:rsidRPr="000611C6">
        <w:rPr>
          <w:rFonts w:ascii="Arial" w:hAnsi="Arial" w:cs="Arial"/>
          <w:b/>
          <w:sz w:val="28"/>
          <w:szCs w:val="28"/>
          <w:lang w:val="en-GB"/>
        </w:rPr>
        <w:t>R4</w:t>
      </w:r>
      <w:r w:rsidR="00D0322E">
        <w:rPr>
          <w:rFonts w:ascii="Arial" w:hAnsi="Arial" w:cs="Arial"/>
          <w:b/>
          <w:sz w:val="28"/>
          <w:szCs w:val="28"/>
          <w:lang w:val="en-GB"/>
        </w:rPr>
        <w:t>-2418840</w:t>
      </w:r>
    </w:p>
    <w:p w14:paraId="68BB5185" w14:textId="38059C51" w:rsidR="000611C6" w:rsidRPr="00E913CF" w:rsidRDefault="00183D5B" w:rsidP="000611C6">
      <w:pPr>
        <w:pStyle w:val="NoSpacing"/>
        <w:contextualSpacing/>
        <w:jc w:val="both"/>
        <w:rPr>
          <w:rFonts w:ascii="Arial" w:hAnsi="Arial" w:cs="Arial"/>
          <w:b/>
          <w:sz w:val="28"/>
          <w:szCs w:val="28"/>
        </w:rPr>
      </w:pPr>
      <w:r>
        <w:rPr>
          <w:rFonts w:ascii="Arial" w:hAnsi="Arial" w:cs="Arial"/>
          <w:b/>
          <w:sz w:val="28"/>
          <w:szCs w:val="28"/>
        </w:rPr>
        <w:t>Orlando</w:t>
      </w:r>
      <w:r w:rsidR="000611C6">
        <w:rPr>
          <w:rFonts w:ascii="Arial" w:hAnsi="Arial" w:cs="Arial"/>
          <w:b/>
          <w:sz w:val="28"/>
          <w:szCs w:val="28"/>
        </w:rPr>
        <w:t xml:space="preserve">, </w:t>
      </w:r>
      <w:r>
        <w:rPr>
          <w:rFonts w:ascii="Arial" w:hAnsi="Arial" w:cs="Arial"/>
          <w:b/>
          <w:sz w:val="28"/>
          <w:szCs w:val="28"/>
        </w:rPr>
        <w:t>USA</w:t>
      </w:r>
      <w:r w:rsidR="000611C6">
        <w:rPr>
          <w:rFonts w:ascii="Arial" w:hAnsi="Arial" w:cs="Arial"/>
          <w:b/>
          <w:sz w:val="28"/>
          <w:szCs w:val="28"/>
        </w:rPr>
        <w:t>,</w:t>
      </w:r>
      <w:r>
        <w:rPr>
          <w:rFonts w:ascii="Arial" w:hAnsi="Arial" w:cs="Arial"/>
          <w:b/>
          <w:sz w:val="28"/>
          <w:szCs w:val="28"/>
        </w:rPr>
        <w:t xml:space="preserve"> November</w:t>
      </w:r>
      <w:r w:rsidR="000611C6">
        <w:rPr>
          <w:rFonts w:ascii="Arial" w:hAnsi="Arial" w:cs="Arial"/>
          <w:b/>
          <w:sz w:val="28"/>
          <w:szCs w:val="28"/>
        </w:rPr>
        <w:t xml:space="preserve"> </w:t>
      </w:r>
      <w:r>
        <w:rPr>
          <w:rFonts w:ascii="Arial" w:hAnsi="Arial" w:cs="Arial"/>
          <w:b/>
          <w:sz w:val="28"/>
          <w:szCs w:val="28"/>
        </w:rPr>
        <w:t>18</w:t>
      </w:r>
      <w:r w:rsidR="000611C6" w:rsidRPr="00C05EFB">
        <w:rPr>
          <w:rFonts w:ascii="Arial" w:hAnsi="Arial" w:cs="Arial"/>
          <w:b/>
          <w:sz w:val="28"/>
          <w:szCs w:val="28"/>
          <w:vertAlign w:val="superscript"/>
        </w:rPr>
        <w:t>th</w:t>
      </w:r>
      <w:r w:rsidR="000611C6">
        <w:rPr>
          <w:rFonts w:ascii="Arial" w:hAnsi="Arial" w:cs="Arial"/>
          <w:b/>
          <w:sz w:val="28"/>
          <w:szCs w:val="28"/>
        </w:rPr>
        <w:t xml:space="preserve"> </w:t>
      </w:r>
      <w:r w:rsidR="000611C6" w:rsidRPr="00E913CF">
        <w:rPr>
          <w:rFonts w:ascii="Arial" w:hAnsi="Arial" w:cs="Arial"/>
          <w:b/>
          <w:sz w:val="28"/>
          <w:szCs w:val="28"/>
        </w:rPr>
        <w:t>–</w:t>
      </w:r>
      <w:r w:rsidR="000611C6">
        <w:rPr>
          <w:rFonts w:ascii="Arial" w:hAnsi="Arial" w:cs="Arial"/>
          <w:b/>
          <w:sz w:val="28"/>
          <w:szCs w:val="28"/>
        </w:rPr>
        <w:t xml:space="preserve"> </w:t>
      </w:r>
      <w:r>
        <w:rPr>
          <w:rFonts w:ascii="Arial" w:hAnsi="Arial" w:cs="Arial"/>
          <w:b/>
          <w:sz w:val="28"/>
          <w:szCs w:val="28"/>
        </w:rPr>
        <w:t>22</w:t>
      </w:r>
      <w:r>
        <w:rPr>
          <w:rFonts w:ascii="Arial" w:hAnsi="Arial" w:cs="Arial"/>
          <w:b/>
          <w:sz w:val="28"/>
          <w:szCs w:val="28"/>
          <w:vertAlign w:val="superscript"/>
        </w:rPr>
        <w:t>nd</w:t>
      </w:r>
      <w:r w:rsidR="000611C6" w:rsidRPr="00E913CF">
        <w:rPr>
          <w:rFonts w:ascii="Arial" w:hAnsi="Arial" w:cs="Arial"/>
          <w:b/>
          <w:sz w:val="28"/>
          <w:szCs w:val="28"/>
        </w:rPr>
        <w:t xml:space="preserve">, </w:t>
      </w:r>
      <w:r>
        <w:rPr>
          <w:rFonts w:ascii="Arial" w:hAnsi="Arial" w:cs="Arial"/>
          <w:b/>
          <w:sz w:val="28"/>
          <w:szCs w:val="28"/>
        </w:rPr>
        <w:t>2024</w:t>
      </w:r>
    </w:p>
    <w:p w14:paraId="75334291" w14:textId="77777777" w:rsidR="000611C6" w:rsidRPr="000D3066" w:rsidRDefault="000611C6" w:rsidP="000611C6">
      <w:pPr>
        <w:pStyle w:val="NoSpacing"/>
        <w:contextualSpacing/>
        <w:jc w:val="both"/>
        <w:rPr>
          <w:rFonts w:ascii="Arial" w:hAnsi="Arial" w:cs="Arial"/>
          <w:b/>
          <w:sz w:val="24"/>
          <w:szCs w:val="24"/>
          <w:lang w:eastAsia="zh-CN"/>
        </w:rPr>
      </w:pPr>
    </w:p>
    <w:p w14:paraId="4A8D9A0E" w14:textId="77777777" w:rsidR="000611C6" w:rsidRPr="000D3066" w:rsidRDefault="000611C6" w:rsidP="000611C6">
      <w:pPr>
        <w:pStyle w:val="NoSpacing"/>
        <w:contextualSpacing/>
        <w:jc w:val="both"/>
        <w:rPr>
          <w:rFonts w:ascii="Arial" w:hAnsi="Arial" w:cs="Arial"/>
          <w:b/>
          <w:sz w:val="24"/>
          <w:szCs w:val="24"/>
          <w:lang w:eastAsia="zh-CN"/>
        </w:rPr>
      </w:pPr>
    </w:p>
    <w:p w14:paraId="355BDBC9" w14:textId="75A2911F" w:rsidR="000611C6" w:rsidRPr="00183D5B" w:rsidRDefault="000611C6" w:rsidP="000611C6">
      <w:pPr>
        <w:pStyle w:val="NoSpacing"/>
        <w:contextualSpacing/>
        <w:jc w:val="both"/>
        <w:rPr>
          <w:rFonts w:ascii="Arial" w:hAnsi="Arial" w:cs="Arial"/>
          <w:b/>
          <w:sz w:val="24"/>
          <w:szCs w:val="24"/>
          <w:lang w:val="en-GB" w:eastAsia="zh-CN"/>
        </w:rPr>
      </w:pPr>
      <w:r w:rsidRPr="00183D5B">
        <w:rPr>
          <w:rFonts w:ascii="Arial" w:hAnsi="Arial" w:cs="Arial"/>
          <w:b/>
          <w:sz w:val="24"/>
          <w:szCs w:val="24"/>
          <w:lang w:val="en-GB"/>
        </w:rPr>
        <w:t>Agenda Item:</w:t>
      </w:r>
      <w:r w:rsidRPr="00183D5B">
        <w:rPr>
          <w:rFonts w:ascii="Arial" w:hAnsi="Arial" w:cs="Arial"/>
          <w:b/>
          <w:sz w:val="24"/>
          <w:szCs w:val="24"/>
          <w:lang w:val="en-GB"/>
        </w:rPr>
        <w:tab/>
      </w:r>
      <w:r w:rsidRPr="00183D5B">
        <w:rPr>
          <w:rFonts w:ascii="Arial" w:hAnsi="Arial" w:cs="Arial"/>
          <w:b/>
          <w:sz w:val="24"/>
          <w:szCs w:val="24"/>
          <w:lang w:val="en-GB"/>
        </w:rPr>
        <w:tab/>
      </w:r>
      <w:r w:rsidR="00576361" w:rsidRPr="00183D5B">
        <w:rPr>
          <w:rFonts w:ascii="Arial" w:hAnsi="Arial" w:cs="Arial"/>
          <w:b/>
          <w:sz w:val="24"/>
          <w:szCs w:val="24"/>
          <w:lang w:val="en-GB"/>
        </w:rPr>
        <w:t>7.8.</w:t>
      </w:r>
      <w:r w:rsidR="00183D5B" w:rsidRPr="00183D5B">
        <w:rPr>
          <w:rFonts w:ascii="Arial" w:hAnsi="Arial" w:cs="Arial"/>
          <w:b/>
          <w:sz w:val="24"/>
          <w:szCs w:val="24"/>
          <w:lang w:val="en-GB"/>
        </w:rPr>
        <w:t>2</w:t>
      </w:r>
    </w:p>
    <w:p w14:paraId="200B798D" w14:textId="0B721D92" w:rsidR="000611C6" w:rsidRPr="00183D5B" w:rsidRDefault="000611C6" w:rsidP="000611C6">
      <w:pPr>
        <w:pStyle w:val="NoSpacing"/>
        <w:contextualSpacing/>
        <w:jc w:val="both"/>
        <w:rPr>
          <w:rFonts w:ascii="Arial" w:eastAsia="SimSun" w:hAnsi="Arial" w:cs="Arial"/>
          <w:b/>
          <w:sz w:val="24"/>
          <w:szCs w:val="24"/>
          <w:lang w:val="en-GB"/>
        </w:rPr>
      </w:pPr>
      <w:r w:rsidRPr="00183D5B">
        <w:rPr>
          <w:rFonts w:ascii="Arial" w:hAnsi="Arial" w:cs="Arial"/>
          <w:b/>
          <w:sz w:val="24"/>
          <w:szCs w:val="24"/>
          <w:lang w:val="en-GB"/>
        </w:rPr>
        <w:t>Source:</w:t>
      </w:r>
      <w:r w:rsidRPr="00183D5B">
        <w:rPr>
          <w:rFonts w:ascii="Arial" w:hAnsi="Arial" w:cs="Arial"/>
          <w:b/>
          <w:sz w:val="24"/>
          <w:szCs w:val="24"/>
          <w:lang w:val="en-GB"/>
        </w:rPr>
        <w:tab/>
      </w:r>
      <w:r w:rsidRPr="00183D5B">
        <w:rPr>
          <w:rFonts w:ascii="Arial" w:hAnsi="Arial" w:cs="Arial"/>
          <w:b/>
          <w:sz w:val="24"/>
          <w:szCs w:val="24"/>
          <w:lang w:val="en-GB"/>
        </w:rPr>
        <w:tab/>
      </w:r>
      <w:r w:rsidRPr="00183D5B">
        <w:rPr>
          <w:rFonts w:ascii="Arial" w:hAnsi="Arial" w:cs="Arial"/>
          <w:b/>
          <w:sz w:val="24"/>
          <w:szCs w:val="24"/>
          <w:lang w:val="en-GB"/>
        </w:rPr>
        <w:tab/>
      </w:r>
      <w:r w:rsidRPr="00183D5B">
        <w:rPr>
          <w:rFonts w:ascii="Arial" w:hAnsi="Arial" w:cs="Arial"/>
          <w:b/>
          <w:sz w:val="24"/>
          <w:szCs w:val="24"/>
          <w:lang w:val="en-GB"/>
        </w:rPr>
        <w:tab/>
        <w:t>Inmarsat</w:t>
      </w:r>
      <w:r w:rsidR="00C34DFF" w:rsidRPr="00183D5B">
        <w:rPr>
          <w:rFonts w:ascii="Arial" w:hAnsi="Arial" w:cs="Arial"/>
          <w:b/>
          <w:sz w:val="24"/>
          <w:szCs w:val="24"/>
          <w:lang w:val="en-GB"/>
        </w:rPr>
        <w:t>, Viasat</w:t>
      </w:r>
    </w:p>
    <w:p w14:paraId="7342CD4B" w14:textId="29C1F50D" w:rsidR="000611C6" w:rsidRDefault="000611C6" w:rsidP="000611C6">
      <w:pPr>
        <w:pStyle w:val="NoSpacing"/>
        <w:ind w:left="2010" w:hanging="2010"/>
        <w:contextualSpacing/>
        <w:jc w:val="both"/>
        <w:rPr>
          <w:rFonts w:ascii="Arial"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00183D5B">
        <w:rPr>
          <w:rFonts w:ascii="Arial" w:hAnsi="Arial" w:cs="Arial"/>
          <w:b/>
          <w:sz w:val="24"/>
          <w:szCs w:val="24"/>
        </w:rPr>
        <w:t>HPUE – Methods of reducing SAR without P-MPR</w:t>
      </w:r>
    </w:p>
    <w:p w14:paraId="64CAA37D" w14:textId="5A060A73" w:rsidR="000611C6" w:rsidRDefault="000611C6" w:rsidP="000611C6">
      <w:pPr>
        <w:pStyle w:val="NoSpacing"/>
        <w:ind w:left="2010" w:hanging="2010"/>
        <w:contextualSpacing/>
        <w:jc w:val="both"/>
        <w:rPr>
          <w:rFonts w:ascii="Arial"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183D5B">
        <w:rPr>
          <w:rFonts w:ascii="Arial" w:hAnsi="Arial" w:cs="Arial"/>
          <w:b/>
          <w:sz w:val="24"/>
          <w:szCs w:val="24"/>
        </w:rPr>
        <w:t>Discussion</w:t>
      </w:r>
    </w:p>
    <w:p w14:paraId="0ED7152E" w14:textId="5113DC2F" w:rsidR="00D60999" w:rsidRDefault="00D60999" w:rsidP="00D60999">
      <w:pPr>
        <w:pStyle w:val="Heading1"/>
        <w:numPr>
          <w:ilvl w:val="0"/>
          <w:numId w:val="8"/>
        </w:numPr>
      </w:pPr>
      <w:r>
        <w:t>Background</w:t>
      </w:r>
    </w:p>
    <w:p w14:paraId="5ED79730" w14:textId="701B0D7E" w:rsidR="00D60999" w:rsidRDefault="00D60999" w:rsidP="00D60999">
      <w:r>
        <w:t>The aim of this paper is to share an operator’s view on the viability of some of the SAR management techniques, highlighting why that for NTN</w:t>
      </w:r>
      <w:r w:rsidR="000040BD">
        <w:t xml:space="preserve"> handsets</w:t>
      </w:r>
      <w:r>
        <w:t xml:space="preserve"> P-MPR is unsuitable, and that other measures </w:t>
      </w:r>
      <w:r w:rsidR="000040BD">
        <w:t>are already in place passively, or new measures can be taken.</w:t>
      </w:r>
    </w:p>
    <w:p w14:paraId="619056AB" w14:textId="16D12919" w:rsidR="000040BD" w:rsidRDefault="000040BD" w:rsidP="000040BD">
      <w:pPr>
        <w:pStyle w:val="Heading1"/>
        <w:numPr>
          <w:ilvl w:val="0"/>
          <w:numId w:val="8"/>
        </w:numPr>
      </w:pPr>
      <w:r>
        <w:t>P-MPR Problem</w:t>
      </w:r>
    </w:p>
    <w:p w14:paraId="16536CB5" w14:textId="77777777" w:rsidR="0046022C" w:rsidRDefault="008F6588" w:rsidP="000040BD">
      <w:r>
        <w:t xml:space="preserve">P-MPR is the process by which a UE reduces its output power, when it is </w:t>
      </w:r>
      <w:r w:rsidR="00154DDE">
        <w:t xml:space="preserve">in danger of exceeding the regulatory SAR limits imposed by the relevant regulator. It has been proposed at previous meetings that the SAR </w:t>
      </w:r>
      <w:r w:rsidR="0046022C">
        <w:t>can be reduced by two distinct methodologies:</w:t>
      </w:r>
    </w:p>
    <w:p w14:paraId="17FDAF5D" w14:textId="75CBBE84" w:rsidR="0046022C" w:rsidRDefault="0046022C" w:rsidP="0046022C">
      <w:pPr>
        <w:pStyle w:val="ListParagraph"/>
        <w:numPr>
          <w:ilvl w:val="0"/>
          <w:numId w:val="9"/>
        </w:numPr>
      </w:pPr>
      <w:r w:rsidRPr="0046022C">
        <w:t>P-MPR – UE reduces its</w:t>
      </w:r>
      <w:r>
        <w:t xml:space="preserve"> power in order to reduce the absolute magnitude of the radio emissions causing a heating effect in the users body</w:t>
      </w:r>
    </w:p>
    <w:p w14:paraId="7EBB7CC2" w14:textId="2BBEC284" w:rsidR="0046022C" w:rsidRDefault="0046022C" w:rsidP="0046022C">
      <w:pPr>
        <w:pStyle w:val="ListParagraph"/>
        <w:numPr>
          <w:ilvl w:val="0"/>
          <w:numId w:val="9"/>
        </w:numPr>
      </w:pPr>
      <w:r>
        <w:t xml:space="preserve">Scheduling based SAR reduction – either the network or the UE begins allocating data for uplink more sporadically, meaning that the magnitude of radio emissions integrated over time is reduced when </w:t>
      </w:r>
      <w:r w:rsidR="00850DE9">
        <w:t>the SAR limit is close to being reached.</w:t>
      </w:r>
    </w:p>
    <w:p w14:paraId="06AAD1D5" w14:textId="391BE1E7" w:rsidR="00AA77D8" w:rsidRPr="0046022C" w:rsidRDefault="00AA77D8" w:rsidP="00AA77D8">
      <w:pPr>
        <w:pStyle w:val="Caption"/>
      </w:pPr>
      <w:bookmarkStart w:id="2" w:name="_Toc181347883"/>
      <w:r>
        <w:t xml:space="preserve">Observation </w:t>
      </w:r>
      <w:r>
        <w:fldChar w:fldCharType="begin"/>
      </w:r>
      <w:r>
        <w:instrText xml:space="preserve"> SEQ Observation \* ARABIC </w:instrText>
      </w:r>
      <w:r>
        <w:fldChar w:fldCharType="separate"/>
      </w:r>
      <w:r w:rsidR="003A26F5">
        <w:rPr>
          <w:noProof/>
        </w:rPr>
        <w:t>1</w:t>
      </w:r>
      <w:r>
        <w:fldChar w:fldCharType="end"/>
      </w:r>
      <w:r>
        <w:t>: There are two distinct methods for SAR management – P-MPR power backoff and scheduling based SAR reduction which can be either Network or UE instigated.</w:t>
      </w:r>
      <w:bookmarkEnd w:id="2"/>
    </w:p>
    <w:p w14:paraId="51C7499B" w14:textId="737664D0" w:rsidR="000040BD" w:rsidRDefault="00AD4022" w:rsidP="000040BD">
      <w:r>
        <w:t>The satellite communications environment is inherently link-budget constrained</w:t>
      </w:r>
      <w:r w:rsidR="00850DE9">
        <w:t xml:space="preserve">, and UEs, particularly mobile handsets, will be operating at the bottom end of the SNR limits for either NR or </w:t>
      </w:r>
      <w:r w:rsidR="00A1413E">
        <w:t>NB-IoT</w:t>
      </w:r>
      <w:r w:rsidR="00BD51BF">
        <w:t xml:space="preserve"> physical layer</w:t>
      </w:r>
      <w:r w:rsidR="00A1413E">
        <w:t>. A reduction in transmit power through P-MPR could kill the link altogether</w:t>
      </w:r>
      <w:r w:rsidR="00D70F51">
        <w:t>, taking the SNR below the limit of the physical layer, or having to use a number of repetitions which makes the user experience significantly degraded.</w:t>
      </w:r>
    </w:p>
    <w:p w14:paraId="30444349" w14:textId="687EEAF4" w:rsidR="00D70F51" w:rsidRDefault="00D70F51" w:rsidP="000040BD">
      <w:r>
        <w:t xml:space="preserve">In addition, the use of P-MPR would mean that the benefits of HPUE are </w:t>
      </w:r>
      <w:r w:rsidR="00DC3CE4">
        <w:t>not capitalised upon. If it turns out that the SAR of the UE is exceeded quite quickly</w:t>
      </w:r>
      <w:r w:rsidR="00473B58">
        <w:t>,</w:t>
      </w:r>
      <w:r w:rsidR="00DC3CE4">
        <w:t xml:space="preserve"> when for example a video call is made,</w:t>
      </w:r>
      <w:r w:rsidR="00473B58">
        <w:t xml:space="preserve"> the UE will have to operate at a degraded transmit power for a significant amount of operation time</w:t>
      </w:r>
      <w:r w:rsidR="00177663">
        <w:t>, effectively bringing it down a power class.</w:t>
      </w:r>
    </w:p>
    <w:p w14:paraId="13C00146" w14:textId="32ACDB77" w:rsidR="0086012B" w:rsidRPr="0086012B" w:rsidRDefault="0086012B" w:rsidP="0086012B">
      <w:pPr>
        <w:pStyle w:val="Caption"/>
      </w:pPr>
      <w:bookmarkStart w:id="3" w:name="_Toc181347884"/>
      <w:r>
        <w:t xml:space="preserve">Observation </w:t>
      </w:r>
      <w:r>
        <w:fldChar w:fldCharType="begin"/>
      </w:r>
      <w:r>
        <w:instrText xml:space="preserve"> SEQ Observation \* ARABIC </w:instrText>
      </w:r>
      <w:r>
        <w:fldChar w:fldCharType="separate"/>
      </w:r>
      <w:r w:rsidR="003A26F5">
        <w:rPr>
          <w:noProof/>
        </w:rPr>
        <w:t>2</w:t>
      </w:r>
      <w:r>
        <w:fldChar w:fldCharType="end"/>
      </w:r>
      <w:r>
        <w:t>: The satcom environment is link constrained and using power backoff methods would be unsuitable for NTN as a result, and the benefits of HPUE may be lost.</w:t>
      </w:r>
      <w:bookmarkEnd w:id="3"/>
    </w:p>
    <w:p w14:paraId="3119528B" w14:textId="53491522" w:rsidR="00177663" w:rsidRDefault="00177663" w:rsidP="00991E24">
      <w:pPr>
        <w:pStyle w:val="Heading1"/>
        <w:numPr>
          <w:ilvl w:val="0"/>
          <w:numId w:val="8"/>
        </w:numPr>
      </w:pPr>
      <w:r>
        <w:t>Scheduling Based SAR Management</w:t>
      </w:r>
    </w:p>
    <w:p w14:paraId="6AE7CFFB" w14:textId="158730C0" w:rsidR="00177663" w:rsidRDefault="00177663" w:rsidP="00177663">
      <w:r>
        <w:t>At the previous meetings, the use of scheduling based SAR management has been proposed.</w:t>
      </w:r>
      <w:r w:rsidR="00782837">
        <w:t xml:space="preserve"> This comes in two forms:</w:t>
      </w:r>
    </w:p>
    <w:p w14:paraId="29E742C2" w14:textId="3606D2A3" w:rsidR="00782837" w:rsidRDefault="00782837" w:rsidP="00782837">
      <w:pPr>
        <w:pStyle w:val="ListParagraph"/>
        <w:numPr>
          <w:ilvl w:val="0"/>
          <w:numId w:val="9"/>
        </w:numPr>
      </w:pPr>
      <w:r>
        <w:t xml:space="preserve">Network instigated SAR management </w:t>
      </w:r>
      <w:r w:rsidR="001A0583">
        <w:t>–</w:t>
      </w:r>
      <w:r>
        <w:t xml:space="preserve"> </w:t>
      </w:r>
      <w:r w:rsidR="001A0583">
        <w:t xml:space="preserve">When the network detects a HPUE capable device has been transmitting </w:t>
      </w:r>
      <w:r w:rsidR="0074736E">
        <w:t xml:space="preserve">at a specific duty cycle for sufficient time, it will begin to </w:t>
      </w:r>
      <w:r w:rsidR="00FD40E8">
        <w:t>reduce the effective duty cycle of the uplink transmissions.</w:t>
      </w:r>
    </w:p>
    <w:p w14:paraId="7E11B003" w14:textId="6AC98B79" w:rsidR="008810D2" w:rsidRDefault="00FD40E8" w:rsidP="008810D2">
      <w:pPr>
        <w:pStyle w:val="ListParagraph"/>
        <w:numPr>
          <w:ilvl w:val="0"/>
          <w:numId w:val="9"/>
        </w:numPr>
      </w:pPr>
      <w:r>
        <w:t>UE instigated SAR management – the UE has an awareness of its effective UL duty cycle, and a knowledge of the specific devices SAR profiles. The UE can skip uplink slots if it needs to reduce the SAR levels</w:t>
      </w:r>
      <w:r w:rsidR="008810D2">
        <w:t xml:space="preserve"> for a period of time.</w:t>
      </w:r>
    </w:p>
    <w:p w14:paraId="35777229" w14:textId="274CEC33" w:rsidR="00784DF3" w:rsidRDefault="008810D2" w:rsidP="008810D2">
      <w:r>
        <w:t>The problem with the network instigated SAR management technique</w:t>
      </w:r>
      <w:r w:rsidR="002A41AA">
        <w:t xml:space="preserve"> is that the network does not have an awareness of every UEs exact SAR profile</w:t>
      </w:r>
      <w:r w:rsidR="00784DF3">
        <w:t>, or UE orientation, and hence may revoke uplink scheduling slots from a UE which has not practically exceeded its own SAR profile.</w:t>
      </w:r>
    </w:p>
    <w:p w14:paraId="307DB510" w14:textId="3DF0AA65" w:rsidR="0086012B" w:rsidRDefault="0086012B" w:rsidP="0086012B">
      <w:pPr>
        <w:pStyle w:val="Caption"/>
      </w:pPr>
      <w:bookmarkStart w:id="4" w:name="_Toc181347885"/>
      <w:r>
        <w:lastRenderedPageBreak/>
        <w:t xml:space="preserve">Observation </w:t>
      </w:r>
      <w:r>
        <w:fldChar w:fldCharType="begin"/>
      </w:r>
      <w:r>
        <w:instrText xml:space="preserve"> SEQ Observation \* ARABIC </w:instrText>
      </w:r>
      <w:r>
        <w:fldChar w:fldCharType="separate"/>
      </w:r>
      <w:r w:rsidR="003A26F5">
        <w:rPr>
          <w:noProof/>
        </w:rPr>
        <w:t>3</w:t>
      </w:r>
      <w:r>
        <w:fldChar w:fldCharType="end"/>
      </w:r>
      <w:r>
        <w:t>: The network based SAR management method may lead to pre-emptively reducing UL allocation slots since the Network has no awareness of specific UE SAR profiles</w:t>
      </w:r>
      <w:bookmarkEnd w:id="4"/>
    </w:p>
    <w:p w14:paraId="306FD88B" w14:textId="2ED955E9" w:rsidR="00784DF3" w:rsidRDefault="00784DF3" w:rsidP="008810D2">
      <w:r>
        <w:t>The UE instigated SAR management is much more preferable. Each UE has to have an awareness of its own SA</w:t>
      </w:r>
      <w:r w:rsidR="00B21939">
        <w:t xml:space="preserve">R emissions, and what the orientation of the UE is. E.g. if it is being held to the users’ head the SAR limit will be reached sooner. With this information, and </w:t>
      </w:r>
      <w:r w:rsidR="00393977">
        <w:t xml:space="preserve">knowledge of the UE’s </w:t>
      </w:r>
      <w:r w:rsidR="005B62ED">
        <w:t xml:space="preserve">own </w:t>
      </w:r>
      <w:r w:rsidR="00393977">
        <w:t>UL schedule</w:t>
      </w:r>
      <w:r w:rsidR="005B62ED">
        <w:t xml:space="preserve">, the UE can skip allocated UL slots if </w:t>
      </w:r>
      <w:r w:rsidR="00F114C3">
        <w:t>the SAR limit is neared. This provides a more efficient SAR management strategy which considers each UE</w:t>
      </w:r>
      <w:r w:rsidR="00224361">
        <w:t xml:space="preserve"> individually, and accepts different emissions profiles.</w:t>
      </w:r>
    </w:p>
    <w:p w14:paraId="0B84E14B" w14:textId="517CEE34" w:rsidR="0086012B" w:rsidRDefault="003A26F5" w:rsidP="003A26F5">
      <w:pPr>
        <w:pStyle w:val="Caption"/>
      </w:pPr>
      <w:bookmarkStart w:id="5" w:name="_Toc181347895"/>
      <w:r>
        <w:t xml:space="preserve">Proposal </w:t>
      </w:r>
      <w:r>
        <w:fldChar w:fldCharType="begin"/>
      </w:r>
      <w:r>
        <w:instrText xml:space="preserve"> SEQ Proposal \* ARABIC </w:instrText>
      </w:r>
      <w:r>
        <w:fldChar w:fldCharType="separate"/>
      </w:r>
      <w:r>
        <w:rPr>
          <w:noProof/>
        </w:rPr>
        <w:t>1</w:t>
      </w:r>
      <w:r>
        <w:fldChar w:fldCharType="end"/>
      </w:r>
      <w:r>
        <w:t xml:space="preserve">: </w:t>
      </w:r>
      <w:r w:rsidR="0086012B">
        <w:t xml:space="preserve">UE based SAR management method is preferable since the UE can manage its own uplink allocations based on </w:t>
      </w:r>
      <w:r>
        <w:t>knowledge of its own SAR emissions profiles and UL schedule. This makes the process much more dynamic and on a UE-by-UE basis.</w:t>
      </w:r>
      <w:bookmarkEnd w:id="5"/>
    </w:p>
    <w:p w14:paraId="1161653B" w14:textId="401B6A57" w:rsidR="00F70B75" w:rsidRDefault="001149DA" w:rsidP="008810D2">
      <w:r>
        <w:t xml:space="preserve">That being said, it is not anticipated that </w:t>
      </w:r>
      <w:r w:rsidR="0062361B">
        <w:t>the UE will constantly be transmitting in an NTN environment</w:t>
      </w:r>
      <w:r w:rsidR="00E937DB">
        <w:t xml:space="preserve"> and will have a low effective duty cycle in the uplink.</w:t>
      </w:r>
      <w:r w:rsidR="0062361B">
        <w:t xml:space="preserve"> </w:t>
      </w:r>
      <w:r w:rsidR="00E937DB">
        <w:t>F</w:t>
      </w:r>
      <w:r w:rsidR="0062361B">
        <w:t xml:space="preserve">or NR the UE is expected to not use more than 6RBs for uplink transmission, </w:t>
      </w:r>
      <w:r w:rsidR="00F70B75">
        <w:t>and for the foreseen NR use cases this is unlikely to require 100% uplink allocation.</w:t>
      </w:r>
    </w:p>
    <w:p w14:paraId="70F37484" w14:textId="7E4F31A2" w:rsidR="001149DA" w:rsidRDefault="00F70B75" w:rsidP="008810D2">
      <w:r>
        <w:t>E.g. even for a single RB at the lowest MCS, the data rate is around 27kbps.</w:t>
      </w:r>
    </w:p>
    <w:p w14:paraId="28EAE615" w14:textId="7CD87946" w:rsidR="003A26F5" w:rsidRPr="003A26F5" w:rsidRDefault="003A26F5" w:rsidP="003A26F5">
      <w:pPr>
        <w:pStyle w:val="Caption"/>
      </w:pPr>
      <w:bookmarkStart w:id="6" w:name="_Toc181347886"/>
      <w:r>
        <w:t xml:space="preserve">Observation </w:t>
      </w:r>
      <w:r>
        <w:fldChar w:fldCharType="begin"/>
      </w:r>
      <w:r>
        <w:instrText xml:space="preserve"> SEQ Observation \* ARABIC </w:instrText>
      </w:r>
      <w:r>
        <w:fldChar w:fldCharType="separate"/>
      </w:r>
      <w:r>
        <w:rPr>
          <w:noProof/>
        </w:rPr>
        <w:t>4</w:t>
      </w:r>
      <w:r>
        <w:fldChar w:fldCharType="end"/>
      </w:r>
      <w:r>
        <w:t xml:space="preserve">: </w:t>
      </w:r>
      <w:r w:rsidRPr="003A26F5">
        <w:t>NTN UL data rat</w:t>
      </w:r>
      <w:r>
        <w:t>es are not likely to require a high duty cycle.</w:t>
      </w:r>
      <w:bookmarkEnd w:id="6"/>
    </w:p>
    <w:p w14:paraId="27672EA6" w14:textId="72464C68" w:rsidR="00177663" w:rsidRDefault="00177663" w:rsidP="00177663">
      <w:pPr>
        <w:pStyle w:val="Heading1"/>
        <w:numPr>
          <w:ilvl w:val="0"/>
          <w:numId w:val="8"/>
        </w:numPr>
      </w:pPr>
      <w:r>
        <w:t>Regulatory Issue</w:t>
      </w:r>
    </w:p>
    <w:p w14:paraId="05A7463B" w14:textId="499D72D2" w:rsidR="00177663" w:rsidRDefault="00F70B75" w:rsidP="00177663">
      <w:r>
        <w:t xml:space="preserve">The issue with the above proposal is that we cannot simply tell the regulatory that we don’t think that the UE will ever be scheduled to transmit at a </w:t>
      </w:r>
      <w:r w:rsidR="00F03537">
        <w:t>duty cycle which exceeds the SAR</w:t>
      </w:r>
      <w:r w:rsidR="00C6202E">
        <w:t>. Since the UE technically could exceed the SAR limit if the uplink schedule was sufficiently busy</w:t>
      </w:r>
      <w:r w:rsidR="00991E24">
        <w:t>. As a result, a method of SAR management does have to be implemented to sate the regulators.</w:t>
      </w:r>
    </w:p>
    <w:p w14:paraId="0F31BDAE" w14:textId="397B2BDF" w:rsidR="003A26F5" w:rsidRDefault="003A26F5" w:rsidP="003A26F5">
      <w:pPr>
        <w:pStyle w:val="Caption"/>
      </w:pPr>
      <w:bookmarkStart w:id="7" w:name="_Toc181347896"/>
      <w:r>
        <w:t xml:space="preserve">Proposal </w:t>
      </w:r>
      <w:r>
        <w:fldChar w:fldCharType="begin"/>
      </w:r>
      <w:r>
        <w:instrText xml:space="preserve"> SEQ Proposal \* ARABIC </w:instrText>
      </w:r>
      <w:r>
        <w:fldChar w:fldCharType="separate"/>
      </w:r>
      <w:r>
        <w:rPr>
          <w:noProof/>
        </w:rPr>
        <w:t>2</w:t>
      </w:r>
      <w:r>
        <w:fldChar w:fldCharType="end"/>
      </w:r>
      <w:r>
        <w:t>: To say that the UE UL scheduling is ‘unlikely to cause SAR issues’ is insufficient and a method of SAR management needs to be demonstrated.</w:t>
      </w:r>
      <w:bookmarkEnd w:id="7"/>
    </w:p>
    <w:p w14:paraId="291F8D22" w14:textId="3B281BF7" w:rsidR="00991E24" w:rsidRDefault="00991E24" w:rsidP="00991E24">
      <w:pPr>
        <w:pStyle w:val="Heading1"/>
        <w:numPr>
          <w:ilvl w:val="0"/>
          <w:numId w:val="8"/>
        </w:numPr>
      </w:pPr>
      <w:r>
        <w:t>Justification</w:t>
      </w:r>
    </w:p>
    <w:p w14:paraId="140D4AA6" w14:textId="3AE31EA8" w:rsidR="00991E24" w:rsidRDefault="00991E24" w:rsidP="00991E24">
      <w:r>
        <w:t>The case that the UE will be using the highest uplink duty cycle will be in the edge of cell cases. The SNR of the downlink is the lowest here, and the UE will be utilising a low MCS (high code rate with lots of redundancy bits) in order to compensate for this. In order to meet the data rates of the desired application, the UE will have to have more consecutive uplink slots allocated to it</w:t>
      </w:r>
      <w:r w:rsidR="008C2F2B">
        <w:t>, meaning the UE duty cycle would be higher.</w:t>
      </w:r>
    </w:p>
    <w:p w14:paraId="64E2C0A5" w14:textId="778BFA2E" w:rsidR="008C2F2B" w:rsidRDefault="008C2F2B" w:rsidP="00991E24">
      <w:r>
        <w:t>In this case, the UE is compensating for the poor SNR by decreasing the MCS and thus improving the link budget, at the cost of an increased UL duty cycle.</w:t>
      </w:r>
      <w:r w:rsidR="00E05790">
        <w:t xml:space="preserve"> </w:t>
      </w:r>
    </w:p>
    <w:p w14:paraId="2078B839" w14:textId="1840F256" w:rsidR="00E05790" w:rsidRDefault="00E05790" w:rsidP="00991E24">
      <w:r>
        <w:t xml:space="preserve">If we used P-MPR as a SAR management technique, since the SNR is already low in this EoC case, an additional power back-off may </w:t>
      </w:r>
      <w:r w:rsidR="00E108B6">
        <w:t>kill the link budget since the UE is already operating at the lowest MCS. As a result, P-MPR for NTN applications is unfeasible.</w:t>
      </w:r>
    </w:p>
    <w:p w14:paraId="7D873B29" w14:textId="77777777" w:rsidR="00172978" w:rsidRDefault="00E108B6" w:rsidP="00991E24">
      <w:r>
        <w:t>If we used a network-based SAR scheduling method, the UE would be given fewer uplink slots</w:t>
      </w:r>
      <w:r w:rsidR="002F4D7B">
        <w:t xml:space="preserve"> to reduce the SAR if the network detects it is a HPUE and has a duty cycle</w:t>
      </w:r>
      <w:r w:rsidR="00644DA7">
        <w:t xml:space="preserve"> sufficient to warrant a back-off. However, the network may pre-emptively do this since it doesn’t know the exact SAR characteristics of the UE</w:t>
      </w:r>
      <w:r w:rsidR="00172978">
        <w:t>, so may reduce the throughput of the network without needing to.</w:t>
      </w:r>
    </w:p>
    <w:p w14:paraId="116A9B2A" w14:textId="77777777" w:rsidR="00A61806" w:rsidRDefault="00172978" w:rsidP="00991E24">
      <w:r>
        <w:t xml:space="preserve">If we used a UE based SAR scheduling method, the UE can skip UL slots as it pleases, which reduces the UL capacity of the system. This however, is the preferred method since the UE has an individual awareness of its own SAR emissions, the orientation of the UE </w:t>
      </w:r>
      <w:r w:rsidR="00A61806">
        <w:t>and its duty cycle, so can dynamically change the UL duty cycle to compensate this only when absolutely necessary on a UE-by-UE basis.</w:t>
      </w:r>
    </w:p>
    <w:p w14:paraId="0D7EE2EA" w14:textId="3208F5F5" w:rsidR="003A26F5" w:rsidRDefault="003A26F5" w:rsidP="003A26F5">
      <w:pPr>
        <w:pStyle w:val="Caption"/>
      </w:pPr>
      <w:bookmarkStart w:id="8" w:name="_Toc181347897"/>
      <w:r>
        <w:t xml:space="preserve">Proposal </w:t>
      </w:r>
      <w:r>
        <w:fldChar w:fldCharType="begin"/>
      </w:r>
      <w:r>
        <w:instrText xml:space="preserve"> SEQ Proposal \* ARABIC </w:instrText>
      </w:r>
      <w:r>
        <w:fldChar w:fldCharType="separate"/>
      </w:r>
      <w:r>
        <w:rPr>
          <w:noProof/>
        </w:rPr>
        <w:t>3</w:t>
      </w:r>
      <w:r>
        <w:fldChar w:fldCharType="end"/>
      </w:r>
      <w:r>
        <w:t>: P-MPR is unsuitable for NTN applications since it may kill the link budget. Network based SAR scheduling management is less suitable because it does not consider the emissions of individual UEs and may pre-emptively reduce the capacity of the system. UE based SAR techniques is the best approach, it considers the individual SAR emissions of each UE and only backs off the duty cycle when absolutely necessary.</w:t>
      </w:r>
      <w:bookmarkEnd w:id="8"/>
    </w:p>
    <w:p w14:paraId="7F01620B" w14:textId="74AD1B75" w:rsidR="009C1F1E" w:rsidRDefault="009C1F1E" w:rsidP="009C1F1E">
      <w:pPr>
        <w:pStyle w:val="Heading1"/>
        <w:numPr>
          <w:ilvl w:val="0"/>
          <w:numId w:val="8"/>
        </w:numPr>
      </w:pPr>
      <w:r>
        <w:lastRenderedPageBreak/>
        <w:t>Observations &amp; Proposals</w:t>
      </w:r>
    </w:p>
    <w:p w14:paraId="4E4C0965" w14:textId="7C6C2A36" w:rsidR="009C1F1E" w:rsidRDefault="009C1F1E">
      <w:pPr>
        <w:pStyle w:val="TableofFigures"/>
        <w:tabs>
          <w:tab w:val="right" w:leader="dot" w:pos="9629"/>
        </w:tabs>
        <w:rPr>
          <w:rStyle w:val="Hyperlink"/>
          <w:b/>
          <w:bCs/>
          <w:noProof/>
        </w:rPr>
      </w:pPr>
      <w:r w:rsidRPr="009C1F1E">
        <w:rPr>
          <w:b/>
          <w:bCs/>
        </w:rPr>
        <w:fldChar w:fldCharType="begin"/>
      </w:r>
      <w:r w:rsidRPr="009C1F1E">
        <w:rPr>
          <w:b/>
          <w:bCs/>
        </w:rPr>
        <w:instrText xml:space="preserve"> TOC \n \h \z \c "Observation" </w:instrText>
      </w:r>
      <w:r w:rsidRPr="009C1F1E">
        <w:rPr>
          <w:b/>
          <w:bCs/>
        </w:rPr>
        <w:fldChar w:fldCharType="separate"/>
      </w:r>
      <w:hyperlink w:anchor="_Toc181347883" w:history="1">
        <w:r w:rsidRPr="009C1F1E">
          <w:rPr>
            <w:rStyle w:val="Hyperlink"/>
            <w:b/>
            <w:bCs/>
            <w:noProof/>
          </w:rPr>
          <w:t>Observation 1: There are two distinct methods for SAR management – P-MPR power backoff and scheduling based SAR reduction which can be either Network or UE instigated.</w:t>
        </w:r>
      </w:hyperlink>
    </w:p>
    <w:p w14:paraId="2DD8840A" w14:textId="77777777" w:rsidR="009C1F1E" w:rsidRPr="009C1F1E" w:rsidRDefault="009C1F1E" w:rsidP="009C1F1E">
      <w:pPr>
        <w:rPr>
          <w:rFonts w:eastAsiaTheme="minorEastAsia"/>
        </w:rPr>
      </w:pPr>
    </w:p>
    <w:p w14:paraId="56113B16" w14:textId="7542BE34" w:rsidR="009C1F1E" w:rsidRDefault="00183D5B">
      <w:pPr>
        <w:pStyle w:val="TableofFigures"/>
        <w:tabs>
          <w:tab w:val="right" w:leader="dot" w:pos="9629"/>
        </w:tabs>
        <w:rPr>
          <w:rStyle w:val="Hyperlink"/>
          <w:b/>
          <w:bCs/>
          <w:noProof/>
        </w:rPr>
      </w:pPr>
      <w:hyperlink w:anchor="_Toc181347884" w:history="1">
        <w:r w:rsidR="009C1F1E" w:rsidRPr="009C1F1E">
          <w:rPr>
            <w:rStyle w:val="Hyperlink"/>
            <w:b/>
            <w:bCs/>
            <w:noProof/>
          </w:rPr>
          <w:t>Observation 2: The satcom environment is link constrained and using power backoff methods would be unsuitable for NTN as a result, and the benefits of HPUE may be lost.</w:t>
        </w:r>
      </w:hyperlink>
    </w:p>
    <w:p w14:paraId="6150170C" w14:textId="77777777" w:rsidR="009C1F1E" w:rsidRPr="009C1F1E" w:rsidRDefault="009C1F1E" w:rsidP="009C1F1E">
      <w:pPr>
        <w:rPr>
          <w:rFonts w:eastAsiaTheme="minorEastAsia"/>
        </w:rPr>
      </w:pPr>
    </w:p>
    <w:p w14:paraId="6E149B33" w14:textId="1F20120E" w:rsidR="009C1F1E" w:rsidRDefault="00183D5B">
      <w:pPr>
        <w:pStyle w:val="TableofFigures"/>
        <w:tabs>
          <w:tab w:val="right" w:leader="dot" w:pos="9629"/>
        </w:tabs>
        <w:rPr>
          <w:rStyle w:val="Hyperlink"/>
          <w:b/>
          <w:bCs/>
          <w:noProof/>
        </w:rPr>
      </w:pPr>
      <w:hyperlink w:anchor="_Toc181347885" w:history="1">
        <w:r w:rsidR="009C1F1E" w:rsidRPr="009C1F1E">
          <w:rPr>
            <w:rStyle w:val="Hyperlink"/>
            <w:b/>
            <w:bCs/>
            <w:noProof/>
          </w:rPr>
          <w:t>Observation 3: The network based SAR management method may lead to pre-emptively reducing UL allocation slots since the Network has no awareness of specific UE SAR profiles</w:t>
        </w:r>
      </w:hyperlink>
    </w:p>
    <w:p w14:paraId="4F2F8475" w14:textId="77777777" w:rsidR="009C1F1E" w:rsidRPr="009C1F1E" w:rsidRDefault="009C1F1E" w:rsidP="009C1F1E">
      <w:pPr>
        <w:rPr>
          <w:rFonts w:eastAsiaTheme="minorEastAsia"/>
        </w:rPr>
      </w:pPr>
    </w:p>
    <w:p w14:paraId="2792D60F" w14:textId="2F67AB49" w:rsidR="009C1F1E" w:rsidRPr="009C1F1E" w:rsidRDefault="00183D5B">
      <w:pPr>
        <w:pStyle w:val="TableofFigures"/>
        <w:tabs>
          <w:tab w:val="right" w:leader="dot" w:pos="9629"/>
        </w:tabs>
        <w:rPr>
          <w:rFonts w:asciiTheme="minorHAnsi" w:eastAsiaTheme="minorEastAsia" w:hAnsiTheme="minorHAnsi" w:cstheme="minorBidi"/>
          <w:b/>
          <w:bCs/>
          <w:noProof/>
          <w:kern w:val="2"/>
          <w:sz w:val="24"/>
          <w:szCs w:val="24"/>
          <w14:ligatures w14:val="standardContextual"/>
        </w:rPr>
      </w:pPr>
      <w:hyperlink w:anchor="_Toc181347886" w:history="1">
        <w:r w:rsidR="009C1F1E" w:rsidRPr="009C1F1E">
          <w:rPr>
            <w:rStyle w:val="Hyperlink"/>
            <w:b/>
            <w:bCs/>
            <w:noProof/>
          </w:rPr>
          <w:t>Observation 4: NTN UL data rates are not likely to require a high duty cycle.</w:t>
        </w:r>
      </w:hyperlink>
    </w:p>
    <w:p w14:paraId="71D4FA80" w14:textId="77777777" w:rsidR="009C1F1E" w:rsidRPr="009C1F1E" w:rsidRDefault="009C1F1E" w:rsidP="009C1F1E">
      <w:pPr>
        <w:rPr>
          <w:b/>
          <w:bCs/>
          <w:noProof/>
        </w:rPr>
      </w:pPr>
      <w:r w:rsidRPr="009C1F1E">
        <w:rPr>
          <w:b/>
          <w:bCs/>
        </w:rPr>
        <w:fldChar w:fldCharType="end"/>
      </w:r>
      <w:r w:rsidRPr="009C1F1E">
        <w:rPr>
          <w:b/>
          <w:bCs/>
        </w:rPr>
        <w:fldChar w:fldCharType="begin"/>
      </w:r>
      <w:r w:rsidRPr="009C1F1E">
        <w:rPr>
          <w:b/>
          <w:bCs/>
        </w:rPr>
        <w:instrText xml:space="preserve"> TOC \n \h \z \c "Proposal" </w:instrText>
      </w:r>
      <w:r w:rsidRPr="009C1F1E">
        <w:rPr>
          <w:b/>
          <w:bCs/>
        </w:rPr>
        <w:fldChar w:fldCharType="separate"/>
      </w:r>
    </w:p>
    <w:p w14:paraId="129AE582" w14:textId="013DD1D7" w:rsidR="009C1F1E" w:rsidRDefault="00183D5B">
      <w:pPr>
        <w:pStyle w:val="TableofFigures"/>
        <w:tabs>
          <w:tab w:val="right" w:leader="dot" w:pos="9629"/>
        </w:tabs>
        <w:rPr>
          <w:rStyle w:val="Hyperlink"/>
          <w:b/>
          <w:bCs/>
          <w:noProof/>
        </w:rPr>
      </w:pPr>
      <w:hyperlink w:anchor="_Toc181347895" w:history="1">
        <w:r w:rsidR="009C1F1E" w:rsidRPr="009C1F1E">
          <w:rPr>
            <w:rStyle w:val="Hyperlink"/>
            <w:b/>
            <w:bCs/>
            <w:noProof/>
          </w:rPr>
          <w:t>Proposal 1: UE based SAR management method is preferable since the UE can manage its own uplink allocations based on knowledge of its own SAR emissions profiles and UL schedule. This makes the process much more dynamic and on a UE-by-UE basis.</w:t>
        </w:r>
      </w:hyperlink>
    </w:p>
    <w:p w14:paraId="32F6D0B6" w14:textId="77777777" w:rsidR="009C1F1E" w:rsidRPr="009C1F1E" w:rsidRDefault="009C1F1E" w:rsidP="009C1F1E">
      <w:pPr>
        <w:rPr>
          <w:rFonts w:eastAsiaTheme="minorEastAsia"/>
        </w:rPr>
      </w:pPr>
    </w:p>
    <w:p w14:paraId="5B635A02" w14:textId="2E07C204" w:rsidR="009C1F1E" w:rsidRDefault="00183D5B">
      <w:pPr>
        <w:pStyle w:val="TableofFigures"/>
        <w:tabs>
          <w:tab w:val="right" w:leader="dot" w:pos="9629"/>
        </w:tabs>
        <w:rPr>
          <w:rStyle w:val="Hyperlink"/>
          <w:b/>
          <w:bCs/>
          <w:noProof/>
        </w:rPr>
      </w:pPr>
      <w:hyperlink w:anchor="_Toc181347896" w:history="1">
        <w:r w:rsidR="009C1F1E" w:rsidRPr="009C1F1E">
          <w:rPr>
            <w:rStyle w:val="Hyperlink"/>
            <w:b/>
            <w:bCs/>
            <w:noProof/>
          </w:rPr>
          <w:t>Proposal 2: To say that the UE UL scheduling is ‘unlikely to cause SAR issues’ is insufficient and a method of SAR management needs to be demonstrated.</w:t>
        </w:r>
      </w:hyperlink>
    </w:p>
    <w:p w14:paraId="59B5104B" w14:textId="77777777" w:rsidR="009C1F1E" w:rsidRPr="009C1F1E" w:rsidRDefault="009C1F1E" w:rsidP="009C1F1E">
      <w:pPr>
        <w:rPr>
          <w:rFonts w:eastAsiaTheme="minorEastAsia"/>
        </w:rPr>
      </w:pPr>
    </w:p>
    <w:p w14:paraId="0D80D7E5" w14:textId="06B7F1F4" w:rsidR="009C1F1E" w:rsidRPr="009C1F1E" w:rsidRDefault="00183D5B">
      <w:pPr>
        <w:pStyle w:val="TableofFigures"/>
        <w:tabs>
          <w:tab w:val="right" w:leader="dot" w:pos="9629"/>
        </w:tabs>
        <w:rPr>
          <w:rFonts w:asciiTheme="minorHAnsi" w:eastAsiaTheme="minorEastAsia" w:hAnsiTheme="minorHAnsi" w:cstheme="minorBidi"/>
          <w:b/>
          <w:bCs/>
          <w:noProof/>
          <w:kern w:val="2"/>
          <w:sz w:val="24"/>
          <w:szCs w:val="24"/>
          <w14:ligatures w14:val="standardContextual"/>
        </w:rPr>
      </w:pPr>
      <w:hyperlink w:anchor="_Toc181347897" w:history="1">
        <w:r w:rsidR="009C1F1E" w:rsidRPr="009C1F1E">
          <w:rPr>
            <w:rStyle w:val="Hyperlink"/>
            <w:b/>
            <w:bCs/>
            <w:noProof/>
          </w:rPr>
          <w:t>Proposal 3: P-MPR is unsuitable for NTN applications since it may kill the link budget. Network based SAR scheduling management is less suitable because it does not consider the emissions of individual UEs and may pre-emptively reduce the capacity of the system. UE based SAR techniques is the best approach, it considers the individual SAR emissions of each UE and only backs off the duty cycle when absolutely necessary.</w:t>
        </w:r>
      </w:hyperlink>
    </w:p>
    <w:p w14:paraId="0A00DB3F" w14:textId="4186F796" w:rsidR="009C1F1E" w:rsidRPr="009C1F1E" w:rsidRDefault="009C1F1E" w:rsidP="009C1F1E">
      <w:r w:rsidRPr="009C1F1E">
        <w:rPr>
          <w:b/>
          <w:bCs/>
        </w:rPr>
        <w:fldChar w:fldCharType="end"/>
      </w:r>
    </w:p>
    <w:p w14:paraId="63787F31" w14:textId="0F2ECC91" w:rsidR="00E108B6" w:rsidRPr="00991E24" w:rsidRDefault="002F4D7B" w:rsidP="00991E24">
      <w:r>
        <w:t xml:space="preserve"> </w:t>
      </w:r>
    </w:p>
    <w:p w14:paraId="4CEEEC51" w14:textId="77777777" w:rsidR="000611C6" w:rsidRDefault="000611C6" w:rsidP="000611C6"/>
    <w:sectPr w:rsidR="000611C6">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83E6C6" w14:textId="77777777" w:rsidR="00270CCC" w:rsidRDefault="00270CCC">
      <w:pPr>
        <w:spacing w:after="0"/>
      </w:pPr>
      <w:r>
        <w:separator/>
      </w:r>
    </w:p>
  </w:endnote>
  <w:endnote w:type="continuationSeparator" w:id="0">
    <w:p w14:paraId="277C37FA" w14:textId="77777777" w:rsidR="00270CCC" w:rsidRDefault="00270CCC">
      <w:pPr>
        <w:spacing w:after="0"/>
      </w:pPr>
      <w:r>
        <w:continuationSeparator/>
      </w:r>
    </w:p>
  </w:endnote>
  <w:endnote w:type="continuationNotice" w:id="1">
    <w:p w14:paraId="2ECC0DF8" w14:textId="77777777" w:rsidR="00270CCC" w:rsidRDefault="00270C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49383D2F" w14:paraId="2CBA7B3B" w14:textId="77777777" w:rsidTr="49383D2F">
      <w:trPr>
        <w:trHeight w:val="300"/>
      </w:trPr>
      <w:tc>
        <w:tcPr>
          <w:tcW w:w="3210" w:type="dxa"/>
        </w:tcPr>
        <w:p w14:paraId="4A12274F" w14:textId="089A90DD" w:rsidR="49383D2F" w:rsidRDefault="49383D2F" w:rsidP="49383D2F">
          <w:pPr>
            <w:pStyle w:val="Header"/>
            <w:ind w:left="-115"/>
          </w:pPr>
        </w:p>
      </w:tc>
      <w:tc>
        <w:tcPr>
          <w:tcW w:w="3210" w:type="dxa"/>
        </w:tcPr>
        <w:p w14:paraId="29574196" w14:textId="08248A95" w:rsidR="49383D2F" w:rsidRDefault="49383D2F" w:rsidP="49383D2F">
          <w:pPr>
            <w:pStyle w:val="Header"/>
            <w:jc w:val="center"/>
          </w:pPr>
        </w:p>
      </w:tc>
      <w:tc>
        <w:tcPr>
          <w:tcW w:w="3210" w:type="dxa"/>
        </w:tcPr>
        <w:p w14:paraId="4B3D5535" w14:textId="643ACBED" w:rsidR="49383D2F" w:rsidRDefault="49383D2F" w:rsidP="49383D2F">
          <w:pPr>
            <w:pStyle w:val="Header"/>
            <w:ind w:right="-115"/>
            <w:jc w:val="right"/>
          </w:pPr>
        </w:p>
      </w:tc>
    </w:tr>
  </w:tbl>
  <w:p w14:paraId="32BC6482" w14:textId="4547CAC4" w:rsidR="008B51AF" w:rsidRDefault="008B5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BE63A5" w14:textId="77777777" w:rsidR="00270CCC" w:rsidRDefault="00270CCC">
      <w:pPr>
        <w:spacing w:after="0"/>
      </w:pPr>
      <w:r>
        <w:separator/>
      </w:r>
    </w:p>
  </w:footnote>
  <w:footnote w:type="continuationSeparator" w:id="0">
    <w:p w14:paraId="126C076B" w14:textId="77777777" w:rsidR="00270CCC" w:rsidRDefault="00270CCC">
      <w:pPr>
        <w:spacing w:after="0"/>
      </w:pPr>
      <w:r>
        <w:continuationSeparator/>
      </w:r>
    </w:p>
  </w:footnote>
  <w:footnote w:type="continuationNotice" w:id="1">
    <w:p w14:paraId="2C013564" w14:textId="77777777" w:rsidR="00270CCC" w:rsidRDefault="00270C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964EF" w14:textId="77777777" w:rsidR="00EF79E3" w:rsidRDefault="00EF79E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49383D2F" w14:paraId="76DBF71C" w14:textId="77777777" w:rsidTr="49383D2F">
      <w:trPr>
        <w:trHeight w:val="300"/>
      </w:trPr>
      <w:tc>
        <w:tcPr>
          <w:tcW w:w="3210" w:type="dxa"/>
        </w:tcPr>
        <w:p w14:paraId="1B5DDCC7" w14:textId="058161D1" w:rsidR="49383D2F" w:rsidRDefault="49383D2F" w:rsidP="49383D2F">
          <w:pPr>
            <w:pStyle w:val="Header"/>
            <w:ind w:left="-115"/>
          </w:pPr>
        </w:p>
      </w:tc>
      <w:tc>
        <w:tcPr>
          <w:tcW w:w="3210" w:type="dxa"/>
        </w:tcPr>
        <w:p w14:paraId="0D49836B" w14:textId="4AFACDF4" w:rsidR="49383D2F" w:rsidRDefault="49383D2F" w:rsidP="49383D2F">
          <w:pPr>
            <w:pStyle w:val="Header"/>
            <w:jc w:val="center"/>
          </w:pPr>
        </w:p>
      </w:tc>
      <w:tc>
        <w:tcPr>
          <w:tcW w:w="3210" w:type="dxa"/>
        </w:tcPr>
        <w:p w14:paraId="53CFA366" w14:textId="7C03B908" w:rsidR="49383D2F" w:rsidRDefault="49383D2F" w:rsidP="49383D2F">
          <w:pPr>
            <w:pStyle w:val="Header"/>
            <w:ind w:right="-115"/>
            <w:jc w:val="right"/>
          </w:pPr>
        </w:p>
      </w:tc>
    </w:tr>
  </w:tbl>
  <w:p w14:paraId="72D6C2B2" w14:textId="70393EAA" w:rsidR="008B51AF" w:rsidRDefault="008B5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557038"/>
    <w:multiLevelType w:val="hybridMultilevel"/>
    <w:tmpl w:val="FA4610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F8F1969"/>
    <w:multiLevelType w:val="multilevel"/>
    <w:tmpl w:val="4516CC6C"/>
    <w:lvl w:ilvl="0">
      <w:start w:val="4"/>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E717A35"/>
    <w:multiLevelType w:val="multilevel"/>
    <w:tmpl w:val="513E3F1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F7139C5"/>
    <w:multiLevelType w:val="hybridMultilevel"/>
    <w:tmpl w:val="56A4273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70A4247"/>
    <w:multiLevelType w:val="hybridMultilevel"/>
    <w:tmpl w:val="B7E2DE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7F6EF6"/>
    <w:multiLevelType w:val="hybridMultilevel"/>
    <w:tmpl w:val="6674E4A8"/>
    <w:lvl w:ilvl="0" w:tplc="42DA05D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54B54D8"/>
    <w:multiLevelType w:val="hybridMultilevel"/>
    <w:tmpl w:val="45845022"/>
    <w:lvl w:ilvl="0" w:tplc="D91C9AC6">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7175491"/>
    <w:multiLevelType w:val="hybridMultilevel"/>
    <w:tmpl w:val="56A427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8545CD7"/>
    <w:multiLevelType w:val="hybridMultilevel"/>
    <w:tmpl w:val="E42E478C"/>
    <w:lvl w:ilvl="0" w:tplc="6E5AD7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EA2538D"/>
    <w:multiLevelType w:val="hybridMultilevel"/>
    <w:tmpl w:val="0C380A8A"/>
    <w:lvl w:ilvl="0" w:tplc="9612B97A">
      <w:numFmt w:val="bullet"/>
      <w:lvlText w:val="-"/>
      <w:lvlJc w:val="left"/>
      <w:pPr>
        <w:ind w:left="1267" w:hanging="360"/>
      </w:pPr>
      <w:rPr>
        <w:rFonts w:ascii="Arial" w:eastAsiaTheme="minorHAnsi" w:hAnsi="Arial" w:cs="Arial" w:hint="default"/>
      </w:rPr>
    </w:lvl>
    <w:lvl w:ilvl="1" w:tplc="08090003">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num w:numId="1" w16cid:durableId="873226880">
    <w:abstractNumId w:val="2"/>
  </w:num>
  <w:num w:numId="2" w16cid:durableId="1422875722">
    <w:abstractNumId w:val="9"/>
  </w:num>
  <w:num w:numId="3" w16cid:durableId="1740512952">
    <w:abstractNumId w:val="1"/>
  </w:num>
  <w:num w:numId="4" w16cid:durableId="1592742014">
    <w:abstractNumId w:val="3"/>
  </w:num>
  <w:num w:numId="5" w16cid:durableId="38214605">
    <w:abstractNumId w:val="7"/>
  </w:num>
  <w:num w:numId="6" w16cid:durableId="1528525574">
    <w:abstractNumId w:val="6"/>
  </w:num>
  <w:num w:numId="7" w16cid:durableId="1444108559">
    <w:abstractNumId w:val="8"/>
  </w:num>
  <w:num w:numId="8" w16cid:durableId="303200870">
    <w:abstractNumId w:val="4"/>
  </w:num>
  <w:num w:numId="9" w16cid:durableId="624895435">
    <w:abstractNumId w:val="5"/>
  </w:num>
  <w:num w:numId="10" w16cid:durableId="21077701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9E3"/>
    <w:rsid w:val="000040BD"/>
    <w:rsid w:val="00004133"/>
    <w:rsid w:val="000063A9"/>
    <w:rsid w:val="00037773"/>
    <w:rsid w:val="0004506E"/>
    <w:rsid w:val="00045AA3"/>
    <w:rsid w:val="00046878"/>
    <w:rsid w:val="00050792"/>
    <w:rsid w:val="000565F3"/>
    <w:rsid w:val="000611C6"/>
    <w:rsid w:val="000725AF"/>
    <w:rsid w:val="000744A6"/>
    <w:rsid w:val="00075023"/>
    <w:rsid w:val="00080964"/>
    <w:rsid w:val="00092E86"/>
    <w:rsid w:val="00096BA5"/>
    <w:rsid w:val="000A132F"/>
    <w:rsid w:val="000A2736"/>
    <w:rsid w:val="000C0A37"/>
    <w:rsid w:val="000C34E3"/>
    <w:rsid w:val="000C6A08"/>
    <w:rsid w:val="000D7704"/>
    <w:rsid w:val="000E3D8A"/>
    <w:rsid w:val="000E6539"/>
    <w:rsid w:val="000F388A"/>
    <w:rsid w:val="000F436F"/>
    <w:rsid w:val="000F539B"/>
    <w:rsid w:val="000F6DD7"/>
    <w:rsid w:val="000F7C80"/>
    <w:rsid w:val="00102226"/>
    <w:rsid w:val="001149DA"/>
    <w:rsid w:val="001228B0"/>
    <w:rsid w:val="00123A48"/>
    <w:rsid w:val="00125E9C"/>
    <w:rsid w:val="00130EEE"/>
    <w:rsid w:val="00131E9E"/>
    <w:rsid w:val="00141397"/>
    <w:rsid w:val="00144A4F"/>
    <w:rsid w:val="00147BDD"/>
    <w:rsid w:val="00154753"/>
    <w:rsid w:val="00154DDE"/>
    <w:rsid w:val="00161249"/>
    <w:rsid w:val="001666BD"/>
    <w:rsid w:val="0017258F"/>
    <w:rsid w:val="00172978"/>
    <w:rsid w:val="00177663"/>
    <w:rsid w:val="00183D5B"/>
    <w:rsid w:val="00193B49"/>
    <w:rsid w:val="00195C4D"/>
    <w:rsid w:val="001A0583"/>
    <w:rsid w:val="001A1332"/>
    <w:rsid w:val="001A1CAC"/>
    <w:rsid w:val="001A3B99"/>
    <w:rsid w:val="001A7996"/>
    <w:rsid w:val="001B01A4"/>
    <w:rsid w:val="001B06FA"/>
    <w:rsid w:val="001B6C7E"/>
    <w:rsid w:val="001B795F"/>
    <w:rsid w:val="001C31C3"/>
    <w:rsid w:val="001C646C"/>
    <w:rsid w:val="001D2465"/>
    <w:rsid w:val="001D2C96"/>
    <w:rsid w:val="001E1FA2"/>
    <w:rsid w:val="001F4EE5"/>
    <w:rsid w:val="001F5CC6"/>
    <w:rsid w:val="001F7AFE"/>
    <w:rsid w:val="00200D4A"/>
    <w:rsid w:val="002012B6"/>
    <w:rsid w:val="002213A3"/>
    <w:rsid w:val="00224361"/>
    <w:rsid w:val="00227941"/>
    <w:rsid w:val="00231C14"/>
    <w:rsid w:val="0023767E"/>
    <w:rsid w:val="002401D5"/>
    <w:rsid w:val="002429AC"/>
    <w:rsid w:val="0024316C"/>
    <w:rsid w:val="00243A22"/>
    <w:rsid w:val="00247111"/>
    <w:rsid w:val="00253847"/>
    <w:rsid w:val="00253DCD"/>
    <w:rsid w:val="00255C08"/>
    <w:rsid w:val="00270CCC"/>
    <w:rsid w:val="00271F04"/>
    <w:rsid w:val="00272D03"/>
    <w:rsid w:val="0027388D"/>
    <w:rsid w:val="00283557"/>
    <w:rsid w:val="002A41AA"/>
    <w:rsid w:val="002B1B76"/>
    <w:rsid w:val="002C4AC2"/>
    <w:rsid w:val="002C6E6B"/>
    <w:rsid w:val="002E7C6F"/>
    <w:rsid w:val="002F3299"/>
    <w:rsid w:val="002F477C"/>
    <w:rsid w:val="002F4D7B"/>
    <w:rsid w:val="00302C3F"/>
    <w:rsid w:val="00306BE1"/>
    <w:rsid w:val="00310D49"/>
    <w:rsid w:val="00321C1E"/>
    <w:rsid w:val="00336DE7"/>
    <w:rsid w:val="00345E7E"/>
    <w:rsid w:val="00350112"/>
    <w:rsid w:val="00353E9A"/>
    <w:rsid w:val="00354954"/>
    <w:rsid w:val="00355E78"/>
    <w:rsid w:val="00374BCF"/>
    <w:rsid w:val="00380DED"/>
    <w:rsid w:val="00386876"/>
    <w:rsid w:val="00387A39"/>
    <w:rsid w:val="00393977"/>
    <w:rsid w:val="00394115"/>
    <w:rsid w:val="003A26F5"/>
    <w:rsid w:val="003A2EF0"/>
    <w:rsid w:val="003A3C26"/>
    <w:rsid w:val="003A5EA3"/>
    <w:rsid w:val="003B06AA"/>
    <w:rsid w:val="003B5209"/>
    <w:rsid w:val="003C1114"/>
    <w:rsid w:val="003C31BE"/>
    <w:rsid w:val="003C68AB"/>
    <w:rsid w:val="003E07CE"/>
    <w:rsid w:val="003E30E8"/>
    <w:rsid w:val="003E3E77"/>
    <w:rsid w:val="003F108C"/>
    <w:rsid w:val="0040193F"/>
    <w:rsid w:val="004023A2"/>
    <w:rsid w:val="00404F0B"/>
    <w:rsid w:val="00405EA0"/>
    <w:rsid w:val="004074C8"/>
    <w:rsid w:val="00415351"/>
    <w:rsid w:val="00415904"/>
    <w:rsid w:val="00422C30"/>
    <w:rsid w:val="0042641C"/>
    <w:rsid w:val="004318C8"/>
    <w:rsid w:val="00432AD8"/>
    <w:rsid w:val="0043593B"/>
    <w:rsid w:val="004375D1"/>
    <w:rsid w:val="00445F92"/>
    <w:rsid w:val="00450068"/>
    <w:rsid w:val="00455037"/>
    <w:rsid w:val="0046022C"/>
    <w:rsid w:val="00461A44"/>
    <w:rsid w:val="00466E97"/>
    <w:rsid w:val="00473B58"/>
    <w:rsid w:val="00482E0B"/>
    <w:rsid w:val="004850B7"/>
    <w:rsid w:val="004879FC"/>
    <w:rsid w:val="00487EB3"/>
    <w:rsid w:val="00490BFE"/>
    <w:rsid w:val="0049373F"/>
    <w:rsid w:val="004972D6"/>
    <w:rsid w:val="004A0A76"/>
    <w:rsid w:val="004A1542"/>
    <w:rsid w:val="004B0AD4"/>
    <w:rsid w:val="004B4A2C"/>
    <w:rsid w:val="004B7A12"/>
    <w:rsid w:val="004C29DC"/>
    <w:rsid w:val="004C56E9"/>
    <w:rsid w:val="004C79C6"/>
    <w:rsid w:val="004D1837"/>
    <w:rsid w:val="004D4DBE"/>
    <w:rsid w:val="004D59AC"/>
    <w:rsid w:val="004E2054"/>
    <w:rsid w:val="004E50E2"/>
    <w:rsid w:val="004E5279"/>
    <w:rsid w:val="004F3F3A"/>
    <w:rsid w:val="00505CA9"/>
    <w:rsid w:val="00513CDD"/>
    <w:rsid w:val="005179BA"/>
    <w:rsid w:val="005207BC"/>
    <w:rsid w:val="00534AEA"/>
    <w:rsid w:val="00534FCD"/>
    <w:rsid w:val="00540B64"/>
    <w:rsid w:val="00545A53"/>
    <w:rsid w:val="0055097D"/>
    <w:rsid w:val="005549A9"/>
    <w:rsid w:val="00554BA8"/>
    <w:rsid w:val="00555012"/>
    <w:rsid w:val="005575C4"/>
    <w:rsid w:val="00561369"/>
    <w:rsid w:val="00562A17"/>
    <w:rsid w:val="00563150"/>
    <w:rsid w:val="00572AFA"/>
    <w:rsid w:val="00576361"/>
    <w:rsid w:val="005924CE"/>
    <w:rsid w:val="005931A7"/>
    <w:rsid w:val="00594F8B"/>
    <w:rsid w:val="00595547"/>
    <w:rsid w:val="005966FF"/>
    <w:rsid w:val="005A0E9E"/>
    <w:rsid w:val="005A167E"/>
    <w:rsid w:val="005A3DAB"/>
    <w:rsid w:val="005A64A6"/>
    <w:rsid w:val="005A6935"/>
    <w:rsid w:val="005B2D74"/>
    <w:rsid w:val="005B62ED"/>
    <w:rsid w:val="005C00C6"/>
    <w:rsid w:val="005C2214"/>
    <w:rsid w:val="005C637D"/>
    <w:rsid w:val="005C68D8"/>
    <w:rsid w:val="005D2AA2"/>
    <w:rsid w:val="005E03B2"/>
    <w:rsid w:val="005E4588"/>
    <w:rsid w:val="005E7200"/>
    <w:rsid w:val="005F4DB0"/>
    <w:rsid w:val="00600ECA"/>
    <w:rsid w:val="0060330E"/>
    <w:rsid w:val="006047B3"/>
    <w:rsid w:val="0061133D"/>
    <w:rsid w:val="00611D73"/>
    <w:rsid w:val="00620E14"/>
    <w:rsid w:val="006211A6"/>
    <w:rsid w:val="0062361B"/>
    <w:rsid w:val="006240D9"/>
    <w:rsid w:val="00626FD8"/>
    <w:rsid w:val="00634370"/>
    <w:rsid w:val="00637267"/>
    <w:rsid w:val="00644DA7"/>
    <w:rsid w:val="0064767A"/>
    <w:rsid w:val="00647BAC"/>
    <w:rsid w:val="006569F8"/>
    <w:rsid w:val="00661150"/>
    <w:rsid w:val="0067047A"/>
    <w:rsid w:val="00687499"/>
    <w:rsid w:val="0068756B"/>
    <w:rsid w:val="00687A1C"/>
    <w:rsid w:val="006A086A"/>
    <w:rsid w:val="006A2965"/>
    <w:rsid w:val="006A5134"/>
    <w:rsid w:val="006A67D1"/>
    <w:rsid w:val="006B498C"/>
    <w:rsid w:val="006B49B0"/>
    <w:rsid w:val="006B7C37"/>
    <w:rsid w:val="006C170F"/>
    <w:rsid w:val="006C1FEA"/>
    <w:rsid w:val="006C3B4F"/>
    <w:rsid w:val="006C3DE1"/>
    <w:rsid w:val="006C7CAD"/>
    <w:rsid w:val="006D6CEB"/>
    <w:rsid w:val="006E1790"/>
    <w:rsid w:val="006E1F16"/>
    <w:rsid w:val="006F7AC3"/>
    <w:rsid w:val="00705C76"/>
    <w:rsid w:val="00706C9B"/>
    <w:rsid w:val="00714F6D"/>
    <w:rsid w:val="00715728"/>
    <w:rsid w:val="00717E7F"/>
    <w:rsid w:val="00723A4F"/>
    <w:rsid w:val="00724BF8"/>
    <w:rsid w:val="00734C54"/>
    <w:rsid w:val="007351B2"/>
    <w:rsid w:val="00736D0E"/>
    <w:rsid w:val="007456B3"/>
    <w:rsid w:val="0074736E"/>
    <w:rsid w:val="007555AC"/>
    <w:rsid w:val="00755650"/>
    <w:rsid w:val="007703E7"/>
    <w:rsid w:val="00770B61"/>
    <w:rsid w:val="00775885"/>
    <w:rsid w:val="00782837"/>
    <w:rsid w:val="007834E2"/>
    <w:rsid w:val="00784DF3"/>
    <w:rsid w:val="00794196"/>
    <w:rsid w:val="0079780C"/>
    <w:rsid w:val="00797DB4"/>
    <w:rsid w:val="007B0C9B"/>
    <w:rsid w:val="007B28DA"/>
    <w:rsid w:val="007B6819"/>
    <w:rsid w:val="007B75BA"/>
    <w:rsid w:val="007C78B3"/>
    <w:rsid w:val="007D2C90"/>
    <w:rsid w:val="007E0312"/>
    <w:rsid w:val="007E3D14"/>
    <w:rsid w:val="007E6027"/>
    <w:rsid w:val="007F3442"/>
    <w:rsid w:val="007F61FE"/>
    <w:rsid w:val="007F7674"/>
    <w:rsid w:val="007F7D92"/>
    <w:rsid w:val="00802BCE"/>
    <w:rsid w:val="00803503"/>
    <w:rsid w:val="008052A6"/>
    <w:rsid w:val="00811EEF"/>
    <w:rsid w:val="008153A7"/>
    <w:rsid w:val="0081698A"/>
    <w:rsid w:val="00816B5A"/>
    <w:rsid w:val="00821C2A"/>
    <w:rsid w:val="00823058"/>
    <w:rsid w:val="00825251"/>
    <w:rsid w:val="008277C2"/>
    <w:rsid w:val="00833CD1"/>
    <w:rsid w:val="008354E6"/>
    <w:rsid w:val="00836591"/>
    <w:rsid w:val="008419FF"/>
    <w:rsid w:val="00850DE9"/>
    <w:rsid w:val="008560B8"/>
    <w:rsid w:val="0086012B"/>
    <w:rsid w:val="00862469"/>
    <w:rsid w:val="00865872"/>
    <w:rsid w:val="00880B64"/>
    <w:rsid w:val="008810D2"/>
    <w:rsid w:val="00886F1E"/>
    <w:rsid w:val="00892316"/>
    <w:rsid w:val="008A6E5C"/>
    <w:rsid w:val="008B04E5"/>
    <w:rsid w:val="008B0F75"/>
    <w:rsid w:val="008B51AF"/>
    <w:rsid w:val="008B6FED"/>
    <w:rsid w:val="008B7A80"/>
    <w:rsid w:val="008C2F2B"/>
    <w:rsid w:val="008C3B97"/>
    <w:rsid w:val="008C6BCA"/>
    <w:rsid w:val="008D2A6A"/>
    <w:rsid w:val="008E5FA0"/>
    <w:rsid w:val="008F0020"/>
    <w:rsid w:val="008F0FF3"/>
    <w:rsid w:val="008F2CF6"/>
    <w:rsid w:val="008F6588"/>
    <w:rsid w:val="009053DB"/>
    <w:rsid w:val="0090621E"/>
    <w:rsid w:val="00912626"/>
    <w:rsid w:val="00912740"/>
    <w:rsid w:val="009128AE"/>
    <w:rsid w:val="00912C2E"/>
    <w:rsid w:val="009244F9"/>
    <w:rsid w:val="00930869"/>
    <w:rsid w:val="00931C2B"/>
    <w:rsid w:val="00936BD0"/>
    <w:rsid w:val="00937DD0"/>
    <w:rsid w:val="009417F9"/>
    <w:rsid w:val="0094333D"/>
    <w:rsid w:val="00944070"/>
    <w:rsid w:val="00945CAE"/>
    <w:rsid w:val="009517F6"/>
    <w:rsid w:val="00952344"/>
    <w:rsid w:val="009524FB"/>
    <w:rsid w:val="00952AE1"/>
    <w:rsid w:val="00952FB1"/>
    <w:rsid w:val="009564A2"/>
    <w:rsid w:val="00970A0A"/>
    <w:rsid w:val="00970FD2"/>
    <w:rsid w:val="009712C1"/>
    <w:rsid w:val="00976DB2"/>
    <w:rsid w:val="00983CD8"/>
    <w:rsid w:val="0099120D"/>
    <w:rsid w:val="00991E24"/>
    <w:rsid w:val="00993696"/>
    <w:rsid w:val="009A3B67"/>
    <w:rsid w:val="009B2D75"/>
    <w:rsid w:val="009B32F1"/>
    <w:rsid w:val="009B6D49"/>
    <w:rsid w:val="009C1F1E"/>
    <w:rsid w:val="009C7F03"/>
    <w:rsid w:val="009E1873"/>
    <w:rsid w:val="009E2BE3"/>
    <w:rsid w:val="009E6323"/>
    <w:rsid w:val="009F27EB"/>
    <w:rsid w:val="009F3940"/>
    <w:rsid w:val="009F396C"/>
    <w:rsid w:val="009F5B8E"/>
    <w:rsid w:val="00A045F6"/>
    <w:rsid w:val="00A109B1"/>
    <w:rsid w:val="00A10CE5"/>
    <w:rsid w:val="00A113DB"/>
    <w:rsid w:val="00A1413E"/>
    <w:rsid w:val="00A17E82"/>
    <w:rsid w:val="00A21F06"/>
    <w:rsid w:val="00A230FB"/>
    <w:rsid w:val="00A25414"/>
    <w:rsid w:val="00A30F6A"/>
    <w:rsid w:val="00A45D0B"/>
    <w:rsid w:val="00A55580"/>
    <w:rsid w:val="00A55F63"/>
    <w:rsid w:val="00A605D6"/>
    <w:rsid w:val="00A61806"/>
    <w:rsid w:val="00A61894"/>
    <w:rsid w:val="00A65643"/>
    <w:rsid w:val="00A671C6"/>
    <w:rsid w:val="00A679CE"/>
    <w:rsid w:val="00A74BA0"/>
    <w:rsid w:val="00A74C9C"/>
    <w:rsid w:val="00A8239D"/>
    <w:rsid w:val="00A83BB5"/>
    <w:rsid w:val="00A865E3"/>
    <w:rsid w:val="00A96081"/>
    <w:rsid w:val="00A966DD"/>
    <w:rsid w:val="00AA720F"/>
    <w:rsid w:val="00AA77D8"/>
    <w:rsid w:val="00AB341A"/>
    <w:rsid w:val="00AC65AE"/>
    <w:rsid w:val="00AC77A0"/>
    <w:rsid w:val="00AD17DC"/>
    <w:rsid w:val="00AD4022"/>
    <w:rsid w:val="00AE704F"/>
    <w:rsid w:val="00AF15CC"/>
    <w:rsid w:val="00AF5E72"/>
    <w:rsid w:val="00B12374"/>
    <w:rsid w:val="00B21939"/>
    <w:rsid w:val="00B24D2B"/>
    <w:rsid w:val="00B26A22"/>
    <w:rsid w:val="00B32C20"/>
    <w:rsid w:val="00B354DF"/>
    <w:rsid w:val="00B356FF"/>
    <w:rsid w:val="00B360B3"/>
    <w:rsid w:val="00B36353"/>
    <w:rsid w:val="00B36DF6"/>
    <w:rsid w:val="00B41D85"/>
    <w:rsid w:val="00B426CD"/>
    <w:rsid w:val="00B43371"/>
    <w:rsid w:val="00B47828"/>
    <w:rsid w:val="00B47D9A"/>
    <w:rsid w:val="00B5119A"/>
    <w:rsid w:val="00B5254F"/>
    <w:rsid w:val="00B657AB"/>
    <w:rsid w:val="00B6715E"/>
    <w:rsid w:val="00B72351"/>
    <w:rsid w:val="00B83D72"/>
    <w:rsid w:val="00B84D6C"/>
    <w:rsid w:val="00B855DB"/>
    <w:rsid w:val="00B86902"/>
    <w:rsid w:val="00B86DDA"/>
    <w:rsid w:val="00B872A8"/>
    <w:rsid w:val="00B87D0A"/>
    <w:rsid w:val="00BA0FA9"/>
    <w:rsid w:val="00BA592C"/>
    <w:rsid w:val="00BA771E"/>
    <w:rsid w:val="00BB3B12"/>
    <w:rsid w:val="00BB5CD0"/>
    <w:rsid w:val="00BB711F"/>
    <w:rsid w:val="00BC26DC"/>
    <w:rsid w:val="00BC2CFD"/>
    <w:rsid w:val="00BD04A9"/>
    <w:rsid w:val="00BD51BF"/>
    <w:rsid w:val="00BD5629"/>
    <w:rsid w:val="00BE5CDE"/>
    <w:rsid w:val="00BF4D8E"/>
    <w:rsid w:val="00C002AC"/>
    <w:rsid w:val="00C12A23"/>
    <w:rsid w:val="00C165C9"/>
    <w:rsid w:val="00C23B4F"/>
    <w:rsid w:val="00C23DA1"/>
    <w:rsid w:val="00C24122"/>
    <w:rsid w:val="00C34DFF"/>
    <w:rsid w:val="00C37376"/>
    <w:rsid w:val="00C44E11"/>
    <w:rsid w:val="00C533E3"/>
    <w:rsid w:val="00C535BF"/>
    <w:rsid w:val="00C56E3F"/>
    <w:rsid w:val="00C60514"/>
    <w:rsid w:val="00C6202E"/>
    <w:rsid w:val="00C66441"/>
    <w:rsid w:val="00C85D30"/>
    <w:rsid w:val="00CA6832"/>
    <w:rsid w:val="00CA6F21"/>
    <w:rsid w:val="00CB043A"/>
    <w:rsid w:val="00CC76D0"/>
    <w:rsid w:val="00CD3E98"/>
    <w:rsid w:val="00CD4A8E"/>
    <w:rsid w:val="00CD4C17"/>
    <w:rsid w:val="00CD7240"/>
    <w:rsid w:val="00CE2C6D"/>
    <w:rsid w:val="00CE7A06"/>
    <w:rsid w:val="00CF00AA"/>
    <w:rsid w:val="00D01FAB"/>
    <w:rsid w:val="00D027D1"/>
    <w:rsid w:val="00D0322E"/>
    <w:rsid w:val="00D04F63"/>
    <w:rsid w:val="00D17E38"/>
    <w:rsid w:val="00D236E7"/>
    <w:rsid w:val="00D243CF"/>
    <w:rsid w:val="00D2562F"/>
    <w:rsid w:val="00D349B2"/>
    <w:rsid w:val="00D37D6C"/>
    <w:rsid w:val="00D4471E"/>
    <w:rsid w:val="00D4474C"/>
    <w:rsid w:val="00D50700"/>
    <w:rsid w:val="00D536C4"/>
    <w:rsid w:val="00D60999"/>
    <w:rsid w:val="00D62D7D"/>
    <w:rsid w:val="00D64773"/>
    <w:rsid w:val="00D66961"/>
    <w:rsid w:val="00D70F51"/>
    <w:rsid w:val="00D75DB7"/>
    <w:rsid w:val="00D7714C"/>
    <w:rsid w:val="00DA0016"/>
    <w:rsid w:val="00DA25B9"/>
    <w:rsid w:val="00DA3D08"/>
    <w:rsid w:val="00DA582B"/>
    <w:rsid w:val="00DB0E9F"/>
    <w:rsid w:val="00DB2B73"/>
    <w:rsid w:val="00DB5192"/>
    <w:rsid w:val="00DB53D4"/>
    <w:rsid w:val="00DB7AED"/>
    <w:rsid w:val="00DC2FA0"/>
    <w:rsid w:val="00DC3CE4"/>
    <w:rsid w:val="00DD2CF4"/>
    <w:rsid w:val="00DE26B7"/>
    <w:rsid w:val="00DE40E0"/>
    <w:rsid w:val="00DE4BA5"/>
    <w:rsid w:val="00DF3A13"/>
    <w:rsid w:val="00DF58A9"/>
    <w:rsid w:val="00E02356"/>
    <w:rsid w:val="00E04CBC"/>
    <w:rsid w:val="00E05790"/>
    <w:rsid w:val="00E108B6"/>
    <w:rsid w:val="00E24F6E"/>
    <w:rsid w:val="00E36340"/>
    <w:rsid w:val="00E37EDD"/>
    <w:rsid w:val="00E538FA"/>
    <w:rsid w:val="00E54480"/>
    <w:rsid w:val="00E57C03"/>
    <w:rsid w:val="00E607EE"/>
    <w:rsid w:val="00E76B7E"/>
    <w:rsid w:val="00E817FB"/>
    <w:rsid w:val="00E85615"/>
    <w:rsid w:val="00E86698"/>
    <w:rsid w:val="00E90535"/>
    <w:rsid w:val="00E91DEC"/>
    <w:rsid w:val="00E932C2"/>
    <w:rsid w:val="00E937DB"/>
    <w:rsid w:val="00E95810"/>
    <w:rsid w:val="00EA0653"/>
    <w:rsid w:val="00EA0EF3"/>
    <w:rsid w:val="00EA513D"/>
    <w:rsid w:val="00EA59C4"/>
    <w:rsid w:val="00EB0B1C"/>
    <w:rsid w:val="00EB0BCC"/>
    <w:rsid w:val="00EB280B"/>
    <w:rsid w:val="00EB6659"/>
    <w:rsid w:val="00EC35F0"/>
    <w:rsid w:val="00ED6E1A"/>
    <w:rsid w:val="00ED7626"/>
    <w:rsid w:val="00EE2D3D"/>
    <w:rsid w:val="00EE4D72"/>
    <w:rsid w:val="00EF6660"/>
    <w:rsid w:val="00EF79E3"/>
    <w:rsid w:val="00F03537"/>
    <w:rsid w:val="00F070C4"/>
    <w:rsid w:val="00F075A7"/>
    <w:rsid w:val="00F07792"/>
    <w:rsid w:val="00F10358"/>
    <w:rsid w:val="00F114C3"/>
    <w:rsid w:val="00F12C2A"/>
    <w:rsid w:val="00F14080"/>
    <w:rsid w:val="00F2424F"/>
    <w:rsid w:val="00F27C33"/>
    <w:rsid w:val="00F31FC0"/>
    <w:rsid w:val="00F32D92"/>
    <w:rsid w:val="00F331E7"/>
    <w:rsid w:val="00F35035"/>
    <w:rsid w:val="00F40BB4"/>
    <w:rsid w:val="00F41240"/>
    <w:rsid w:val="00F53C79"/>
    <w:rsid w:val="00F54CBF"/>
    <w:rsid w:val="00F56B54"/>
    <w:rsid w:val="00F608D4"/>
    <w:rsid w:val="00F61AF1"/>
    <w:rsid w:val="00F65B0B"/>
    <w:rsid w:val="00F66C96"/>
    <w:rsid w:val="00F679BB"/>
    <w:rsid w:val="00F70B75"/>
    <w:rsid w:val="00F71F80"/>
    <w:rsid w:val="00F75719"/>
    <w:rsid w:val="00F760B8"/>
    <w:rsid w:val="00F82046"/>
    <w:rsid w:val="00F86CEC"/>
    <w:rsid w:val="00F95634"/>
    <w:rsid w:val="00F97636"/>
    <w:rsid w:val="00FA6E4A"/>
    <w:rsid w:val="00FB5B05"/>
    <w:rsid w:val="00FC0A5E"/>
    <w:rsid w:val="00FD40E8"/>
    <w:rsid w:val="00FE0A5E"/>
    <w:rsid w:val="00FE3D5F"/>
    <w:rsid w:val="00FE5C05"/>
    <w:rsid w:val="00FE6C44"/>
    <w:rsid w:val="00FE78D6"/>
    <w:rsid w:val="00FF218B"/>
    <w:rsid w:val="00FF24DE"/>
    <w:rsid w:val="00FF7696"/>
    <w:rsid w:val="49383D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0A661B"/>
  <w15:chartTrackingRefBased/>
  <w15:docId w15:val="{970E458E-0828-46DF-BFAE-6B1C0F3ED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3D5B"/>
    <w:pPr>
      <w:overflowPunct w:val="0"/>
      <w:autoSpaceDE w:val="0"/>
      <w:autoSpaceDN w:val="0"/>
      <w:adjustRightInd w:val="0"/>
      <w:spacing w:after="180"/>
      <w:textAlignment w:val="baseline"/>
    </w:pPr>
    <w:rPr>
      <w:rFonts w:ascii="Times New Roman" w:hAnsi="Times New Roman"/>
      <w:lang w:eastAsia="zh-CN"/>
    </w:rPr>
  </w:style>
  <w:style w:type="paragraph" w:styleId="Heading1">
    <w:name w:val="heading 1"/>
    <w:next w:val="Normal"/>
    <w:qFormat/>
    <w:rsid w:val="00183D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Heading2">
    <w:name w:val="heading 2"/>
    <w:basedOn w:val="Heading1"/>
    <w:next w:val="Normal"/>
    <w:qFormat/>
    <w:rsid w:val="00183D5B"/>
    <w:pPr>
      <w:pBdr>
        <w:top w:val="none" w:sz="0" w:space="0" w:color="auto"/>
      </w:pBdr>
      <w:spacing w:before="180"/>
      <w:outlineLvl w:val="1"/>
    </w:pPr>
    <w:rPr>
      <w:sz w:val="32"/>
    </w:rPr>
  </w:style>
  <w:style w:type="paragraph" w:styleId="Heading3">
    <w:name w:val="heading 3"/>
    <w:basedOn w:val="Heading2"/>
    <w:next w:val="Normal"/>
    <w:qFormat/>
    <w:rsid w:val="00183D5B"/>
    <w:pPr>
      <w:spacing w:before="120"/>
      <w:outlineLvl w:val="2"/>
    </w:pPr>
    <w:rPr>
      <w:sz w:val="28"/>
    </w:rPr>
  </w:style>
  <w:style w:type="paragraph" w:styleId="Heading4">
    <w:name w:val="heading 4"/>
    <w:basedOn w:val="Heading3"/>
    <w:next w:val="Normal"/>
    <w:qFormat/>
    <w:rsid w:val="00183D5B"/>
    <w:pPr>
      <w:ind w:left="1418" w:hanging="1418"/>
      <w:outlineLvl w:val="3"/>
    </w:pPr>
    <w:rPr>
      <w:sz w:val="24"/>
    </w:rPr>
  </w:style>
  <w:style w:type="paragraph" w:styleId="Heading5">
    <w:name w:val="heading 5"/>
    <w:basedOn w:val="Heading4"/>
    <w:next w:val="Normal"/>
    <w:qFormat/>
    <w:rsid w:val="00183D5B"/>
    <w:pPr>
      <w:ind w:left="1701" w:hanging="1701"/>
      <w:outlineLvl w:val="4"/>
    </w:pPr>
    <w:rPr>
      <w:sz w:val="22"/>
    </w:rPr>
  </w:style>
  <w:style w:type="paragraph" w:styleId="Heading6">
    <w:name w:val="heading 6"/>
    <w:basedOn w:val="H6"/>
    <w:next w:val="Normal"/>
    <w:qFormat/>
    <w:rsid w:val="00183D5B"/>
    <w:pPr>
      <w:outlineLvl w:val="5"/>
    </w:pPr>
  </w:style>
  <w:style w:type="paragraph" w:styleId="Heading7">
    <w:name w:val="heading 7"/>
    <w:basedOn w:val="H6"/>
    <w:next w:val="Normal"/>
    <w:qFormat/>
    <w:rsid w:val="00183D5B"/>
    <w:pPr>
      <w:outlineLvl w:val="6"/>
    </w:pPr>
  </w:style>
  <w:style w:type="paragraph" w:styleId="Heading8">
    <w:name w:val="heading 8"/>
    <w:basedOn w:val="Heading1"/>
    <w:next w:val="Normal"/>
    <w:qFormat/>
    <w:rsid w:val="00183D5B"/>
    <w:pPr>
      <w:ind w:left="0" w:firstLine="0"/>
      <w:outlineLvl w:val="7"/>
    </w:pPr>
  </w:style>
  <w:style w:type="paragraph" w:styleId="Heading9">
    <w:name w:val="heading 9"/>
    <w:basedOn w:val="Heading8"/>
    <w:next w:val="Normal"/>
    <w:qFormat/>
    <w:rsid w:val="00183D5B"/>
    <w:pPr>
      <w:outlineLvl w:val="8"/>
    </w:pPr>
  </w:style>
  <w:style w:type="character" w:default="1" w:styleId="DefaultParagraphFont">
    <w:name w:val="Default Paragraph Font"/>
    <w:semiHidden/>
    <w:rsid w:val="00183D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3D5B"/>
  </w:style>
  <w:style w:type="paragraph" w:styleId="TOC8">
    <w:name w:val="toc 8"/>
    <w:basedOn w:val="TOC1"/>
    <w:semiHidden/>
    <w:rsid w:val="00183D5B"/>
    <w:pPr>
      <w:spacing w:before="180"/>
      <w:ind w:left="2693" w:hanging="2693"/>
    </w:pPr>
    <w:rPr>
      <w:b/>
    </w:rPr>
  </w:style>
  <w:style w:type="paragraph" w:styleId="TOC1">
    <w:name w:val="toc 1"/>
    <w:semiHidden/>
    <w:rsid w:val="00183D5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zh-CN"/>
    </w:rPr>
  </w:style>
  <w:style w:type="paragraph" w:customStyle="1" w:styleId="ZT">
    <w:name w:val="ZT"/>
    <w:rsid w:val="00183D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styleId="TOC5">
    <w:name w:val="toc 5"/>
    <w:basedOn w:val="TOC4"/>
    <w:semiHidden/>
    <w:rsid w:val="00183D5B"/>
    <w:pPr>
      <w:ind w:left="1701" w:hanging="1701"/>
    </w:pPr>
  </w:style>
  <w:style w:type="paragraph" w:styleId="TOC4">
    <w:name w:val="toc 4"/>
    <w:basedOn w:val="TOC3"/>
    <w:semiHidden/>
    <w:rsid w:val="00183D5B"/>
    <w:pPr>
      <w:ind w:left="1418" w:hanging="1418"/>
    </w:pPr>
  </w:style>
  <w:style w:type="paragraph" w:styleId="TOC3">
    <w:name w:val="toc 3"/>
    <w:basedOn w:val="TOC2"/>
    <w:semiHidden/>
    <w:rsid w:val="00183D5B"/>
    <w:pPr>
      <w:ind w:left="1134" w:hanging="1134"/>
    </w:pPr>
  </w:style>
  <w:style w:type="paragraph" w:styleId="TOC2">
    <w:name w:val="toc 2"/>
    <w:basedOn w:val="TOC1"/>
    <w:semiHidden/>
    <w:rsid w:val="00183D5B"/>
    <w:pPr>
      <w:keepNext w:val="0"/>
      <w:spacing w:before="0"/>
      <w:ind w:left="851" w:hanging="851"/>
    </w:pPr>
    <w:rPr>
      <w:sz w:val="20"/>
    </w:rPr>
  </w:style>
  <w:style w:type="paragraph" w:styleId="Index2">
    <w:name w:val="index 2"/>
    <w:basedOn w:val="Index1"/>
    <w:semiHidden/>
    <w:rsid w:val="00183D5B"/>
    <w:pPr>
      <w:ind w:left="284"/>
    </w:pPr>
  </w:style>
  <w:style w:type="paragraph" w:styleId="Index1">
    <w:name w:val="index 1"/>
    <w:basedOn w:val="Normal"/>
    <w:semiHidden/>
    <w:rsid w:val="00183D5B"/>
    <w:pPr>
      <w:keepLines/>
      <w:spacing w:after="0"/>
    </w:pPr>
  </w:style>
  <w:style w:type="paragraph" w:customStyle="1" w:styleId="ZH">
    <w:name w:val="ZH"/>
    <w:rsid w:val="00183D5B"/>
    <w:pPr>
      <w:framePr w:wrap="notBeside" w:vAnchor="page" w:hAnchor="margin" w:xAlign="center" w:y="6805"/>
      <w:widowControl w:val="0"/>
      <w:overflowPunct w:val="0"/>
      <w:autoSpaceDE w:val="0"/>
      <w:autoSpaceDN w:val="0"/>
      <w:adjustRightInd w:val="0"/>
      <w:textAlignment w:val="baseline"/>
    </w:pPr>
    <w:rPr>
      <w:rFonts w:ascii="Arial" w:hAnsi="Arial"/>
      <w:noProof/>
      <w:lang w:eastAsia="zh-CN"/>
    </w:rPr>
  </w:style>
  <w:style w:type="paragraph" w:customStyle="1" w:styleId="TT">
    <w:name w:val="TT"/>
    <w:basedOn w:val="Heading1"/>
    <w:next w:val="Normal"/>
    <w:rsid w:val="00183D5B"/>
    <w:pPr>
      <w:outlineLvl w:val="9"/>
    </w:pPr>
  </w:style>
  <w:style w:type="paragraph" w:styleId="ListNumber2">
    <w:name w:val="List Number 2"/>
    <w:basedOn w:val="ListNumber"/>
    <w:semiHidden/>
    <w:rsid w:val="00183D5B"/>
    <w:pPr>
      <w:ind w:left="851"/>
    </w:pPr>
  </w:style>
  <w:style w:type="paragraph" w:styleId="Header">
    <w:name w:val="header"/>
    <w:semiHidden/>
    <w:rsid w:val="00183D5B"/>
    <w:pPr>
      <w:widowControl w:val="0"/>
      <w:overflowPunct w:val="0"/>
      <w:autoSpaceDE w:val="0"/>
      <w:autoSpaceDN w:val="0"/>
      <w:adjustRightInd w:val="0"/>
      <w:textAlignment w:val="baseline"/>
    </w:pPr>
    <w:rPr>
      <w:rFonts w:ascii="Arial" w:hAnsi="Arial"/>
      <w:b/>
      <w:noProof/>
      <w:sz w:val="18"/>
      <w:lang w:eastAsia="zh-CN"/>
    </w:rPr>
  </w:style>
  <w:style w:type="character" w:styleId="FootnoteReference">
    <w:name w:val="footnote reference"/>
    <w:basedOn w:val="DefaultParagraphFont"/>
    <w:semiHidden/>
    <w:rsid w:val="00183D5B"/>
    <w:rPr>
      <w:b/>
      <w:position w:val="6"/>
      <w:sz w:val="16"/>
    </w:rPr>
  </w:style>
  <w:style w:type="paragraph" w:styleId="FootnoteText">
    <w:name w:val="footnote text"/>
    <w:basedOn w:val="Normal"/>
    <w:semiHidden/>
    <w:rsid w:val="00183D5B"/>
    <w:pPr>
      <w:keepLines/>
      <w:spacing w:after="0"/>
      <w:ind w:left="454" w:hanging="454"/>
    </w:pPr>
    <w:rPr>
      <w:sz w:val="16"/>
    </w:rPr>
  </w:style>
  <w:style w:type="paragraph" w:customStyle="1" w:styleId="TAH">
    <w:name w:val="TAH"/>
    <w:basedOn w:val="TAC"/>
    <w:link w:val="TAHCar"/>
    <w:rsid w:val="00183D5B"/>
    <w:rPr>
      <w:b/>
    </w:rPr>
  </w:style>
  <w:style w:type="paragraph" w:customStyle="1" w:styleId="TAC">
    <w:name w:val="TAC"/>
    <w:basedOn w:val="TAL"/>
    <w:link w:val="TACChar"/>
    <w:rsid w:val="00183D5B"/>
    <w:pPr>
      <w:jc w:val="center"/>
    </w:pPr>
  </w:style>
  <w:style w:type="paragraph" w:customStyle="1" w:styleId="TF">
    <w:name w:val="TF"/>
    <w:basedOn w:val="TH"/>
    <w:rsid w:val="00183D5B"/>
    <w:pPr>
      <w:keepNext w:val="0"/>
      <w:spacing w:before="0" w:after="240"/>
    </w:pPr>
  </w:style>
  <w:style w:type="paragraph" w:customStyle="1" w:styleId="NO">
    <w:name w:val="NO"/>
    <w:basedOn w:val="Normal"/>
    <w:rsid w:val="00183D5B"/>
    <w:pPr>
      <w:keepLines/>
      <w:ind w:left="1135" w:hanging="851"/>
    </w:pPr>
  </w:style>
  <w:style w:type="paragraph" w:styleId="TOC9">
    <w:name w:val="toc 9"/>
    <w:basedOn w:val="TOC8"/>
    <w:semiHidden/>
    <w:rsid w:val="00183D5B"/>
    <w:pPr>
      <w:ind w:left="1418" w:hanging="1418"/>
    </w:pPr>
  </w:style>
  <w:style w:type="paragraph" w:customStyle="1" w:styleId="EX">
    <w:name w:val="EX"/>
    <w:basedOn w:val="Normal"/>
    <w:rsid w:val="00183D5B"/>
    <w:pPr>
      <w:keepLines/>
      <w:ind w:left="1702" w:hanging="1418"/>
    </w:pPr>
  </w:style>
  <w:style w:type="paragraph" w:customStyle="1" w:styleId="FP">
    <w:name w:val="FP"/>
    <w:basedOn w:val="Normal"/>
    <w:rsid w:val="00183D5B"/>
    <w:pPr>
      <w:spacing w:after="0"/>
    </w:pPr>
  </w:style>
  <w:style w:type="paragraph" w:customStyle="1" w:styleId="LD">
    <w:name w:val="LD"/>
    <w:rsid w:val="00183D5B"/>
    <w:pPr>
      <w:keepNext/>
      <w:keepLines/>
      <w:overflowPunct w:val="0"/>
      <w:autoSpaceDE w:val="0"/>
      <w:autoSpaceDN w:val="0"/>
      <w:adjustRightInd w:val="0"/>
      <w:spacing w:line="180" w:lineRule="exact"/>
      <w:textAlignment w:val="baseline"/>
    </w:pPr>
    <w:rPr>
      <w:rFonts w:ascii="Courier New" w:hAnsi="Courier New"/>
      <w:noProof/>
      <w:lang w:eastAsia="zh-CN"/>
    </w:rPr>
  </w:style>
  <w:style w:type="paragraph" w:customStyle="1" w:styleId="NW">
    <w:name w:val="NW"/>
    <w:basedOn w:val="NO"/>
    <w:rsid w:val="00183D5B"/>
    <w:pPr>
      <w:spacing w:after="0"/>
    </w:pPr>
  </w:style>
  <w:style w:type="paragraph" w:customStyle="1" w:styleId="EW">
    <w:name w:val="EW"/>
    <w:basedOn w:val="EX"/>
    <w:rsid w:val="00183D5B"/>
    <w:pPr>
      <w:spacing w:after="0"/>
    </w:pPr>
  </w:style>
  <w:style w:type="paragraph" w:styleId="TOC6">
    <w:name w:val="toc 6"/>
    <w:basedOn w:val="TOC5"/>
    <w:next w:val="Normal"/>
    <w:semiHidden/>
    <w:rsid w:val="00183D5B"/>
    <w:pPr>
      <w:ind w:left="1985" w:hanging="1985"/>
    </w:pPr>
  </w:style>
  <w:style w:type="paragraph" w:styleId="TOC7">
    <w:name w:val="toc 7"/>
    <w:basedOn w:val="TOC6"/>
    <w:next w:val="Normal"/>
    <w:semiHidden/>
    <w:rsid w:val="00183D5B"/>
    <w:pPr>
      <w:ind w:left="2268" w:hanging="2268"/>
    </w:pPr>
  </w:style>
  <w:style w:type="paragraph" w:styleId="ListBullet2">
    <w:name w:val="List Bullet 2"/>
    <w:basedOn w:val="ListBullet"/>
    <w:semiHidden/>
    <w:rsid w:val="00183D5B"/>
    <w:pPr>
      <w:ind w:left="851"/>
    </w:pPr>
  </w:style>
  <w:style w:type="paragraph" w:styleId="ListBullet3">
    <w:name w:val="List Bullet 3"/>
    <w:basedOn w:val="ListBullet2"/>
    <w:semiHidden/>
    <w:rsid w:val="00183D5B"/>
    <w:pPr>
      <w:ind w:left="1135"/>
    </w:pPr>
  </w:style>
  <w:style w:type="paragraph" w:styleId="ListNumber">
    <w:name w:val="List Number"/>
    <w:basedOn w:val="List"/>
    <w:semiHidden/>
    <w:rsid w:val="00183D5B"/>
  </w:style>
  <w:style w:type="paragraph" w:customStyle="1" w:styleId="EQ">
    <w:name w:val="EQ"/>
    <w:basedOn w:val="Normal"/>
    <w:next w:val="Normal"/>
    <w:rsid w:val="00183D5B"/>
    <w:pPr>
      <w:keepLines/>
      <w:tabs>
        <w:tab w:val="center" w:pos="4536"/>
        <w:tab w:val="right" w:pos="9072"/>
      </w:tabs>
    </w:pPr>
    <w:rPr>
      <w:noProof/>
    </w:rPr>
  </w:style>
  <w:style w:type="paragraph" w:customStyle="1" w:styleId="TH">
    <w:name w:val="TH"/>
    <w:basedOn w:val="Normal"/>
    <w:rsid w:val="00183D5B"/>
    <w:pPr>
      <w:keepNext/>
      <w:keepLines/>
      <w:spacing w:before="60"/>
      <w:jc w:val="center"/>
    </w:pPr>
    <w:rPr>
      <w:rFonts w:ascii="Arial" w:hAnsi="Arial"/>
      <w:b/>
    </w:rPr>
  </w:style>
  <w:style w:type="paragraph" w:customStyle="1" w:styleId="NF">
    <w:name w:val="NF"/>
    <w:basedOn w:val="NO"/>
    <w:rsid w:val="00183D5B"/>
    <w:pPr>
      <w:keepNext/>
      <w:spacing w:after="0"/>
    </w:pPr>
    <w:rPr>
      <w:rFonts w:ascii="Arial" w:hAnsi="Arial"/>
      <w:sz w:val="18"/>
    </w:rPr>
  </w:style>
  <w:style w:type="paragraph" w:customStyle="1" w:styleId="PL">
    <w:name w:val="PL"/>
    <w:rsid w:val="00183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paragraph" w:customStyle="1" w:styleId="TAR">
    <w:name w:val="TAR"/>
    <w:basedOn w:val="TAL"/>
    <w:rsid w:val="00183D5B"/>
    <w:pPr>
      <w:jc w:val="right"/>
    </w:pPr>
  </w:style>
  <w:style w:type="paragraph" w:customStyle="1" w:styleId="H6">
    <w:name w:val="H6"/>
    <w:basedOn w:val="Heading5"/>
    <w:next w:val="Normal"/>
    <w:rsid w:val="00183D5B"/>
    <w:pPr>
      <w:ind w:left="1985" w:hanging="1985"/>
      <w:outlineLvl w:val="9"/>
    </w:pPr>
    <w:rPr>
      <w:sz w:val="20"/>
    </w:rPr>
  </w:style>
  <w:style w:type="paragraph" w:customStyle="1" w:styleId="TAN">
    <w:name w:val="TAN"/>
    <w:basedOn w:val="TAL"/>
    <w:link w:val="TANChar"/>
    <w:rsid w:val="00183D5B"/>
    <w:pPr>
      <w:ind w:left="851" w:hanging="851"/>
    </w:pPr>
  </w:style>
  <w:style w:type="paragraph" w:customStyle="1" w:styleId="TAL">
    <w:name w:val="TAL"/>
    <w:basedOn w:val="Normal"/>
    <w:rsid w:val="00183D5B"/>
    <w:pPr>
      <w:keepNext/>
      <w:keepLines/>
      <w:spacing w:after="0"/>
    </w:pPr>
    <w:rPr>
      <w:rFonts w:ascii="Arial" w:hAnsi="Arial"/>
      <w:sz w:val="18"/>
    </w:rPr>
  </w:style>
  <w:style w:type="paragraph" w:customStyle="1" w:styleId="ZA">
    <w:name w:val="ZA"/>
    <w:rsid w:val="00183D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zh-CN"/>
    </w:rPr>
  </w:style>
  <w:style w:type="paragraph" w:customStyle="1" w:styleId="ZB">
    <w:name w:val="ZB"/>
    <w:rsid w:val="00183D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zh-CN"/>
    </w:rPr>
  </w:style>
  <w:style w:type="paragraph" w:customStyle="1" w:styleId="ZD">
    <w:name w:val="ZD"/>
    <w:rsid w:val="00183D5B"/>
    <w:pPr>
      <w:framePr w:wrap="notBeside" w:vAnchor="page" w:hAnchor="margin" w:y="15764"/>
      <w:widowControl w:val="0"/>
      <w:overflowPunct w:val="0"/>
      <w:autoSpaceDE w:val="0"/>
      <w:autoSpaceDN w:val="0"/>
      <w:adjustRightInd w:val="0"/>
      <w:textAlignment w:val="baseline"/>
    </w:pPr>
    <w:rPr>
      <w:rFonts w:ascii="Arial" w:hAnsi="Arial"/>
      <w:noProof/>
      <w:sz w:val="32"/>
      <w:lang w:eastAsia="zh-CN"/>
    </w:rPr>
  </w:style>
  <w:style w:type="paragraph" w:customStyle="1" w:styleId="ZU">
    <w:name w:val="ZU"/>
    <w:rsid w:val="00183D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zh-CN"/>
    </w:rPr>
  </w:style>
  <w:style w:type="paragraph" w:customStyle="1" w:styleId="ZV">
    <w:name w:val="ZV"/>
    <w:basedOn w:val="ZU"/>
    <w:rsid w:val="00183D5B"/>
    <w:pPr>
      <w:framePr w:wrap="notBeside" w:y="16161"/>
    </w:pPr>
  </w:style>
  <w:style w:type="character" w:customStyle="1" w:styleId="ZGSM">
    <w:name w:val="ZGSM"/>
    <w:rsid w:val="00183D5B"/>
  </w:style>
  <w:style w:type="paragraph" w:styleId="List2">
    <w:name w:val="List 2"/>
    <w:basedOn w:val="List"/>
    <w:semiHidden/>
    <w:rsid w:val="00183D5B"/>
    <w:pPr>
      <w:ind w:left="851"/>
    </w:pPr>
  </w:style>
  <w:style w:type="paragraph" w:customStyle="1" w:styleId="ZG">
    <w:name w:val="ZG"/>
    <w:rsid w:val="00183D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zh-CN"/>
    </w:rPr>
  </w:style>
  <w:style w:type="paragraph" w:styleId="List3">
    <w:name w:val="List 3"/>
    <w:basedOn w:val="List2"/>
    <w:semiHidden/>
    <w:rsid w:val="00183D5B"/>
    <w:pPr>
      <w:ind w:left="1135"/>
    </w:pPr>
  </w:style>
  <w:style w:type="paragraph" w:styleId="List4">
    <w:name w:val="List 4"/>
    <w:basedOn w:val="List3"/>
    <w:semiHidden/>
    <w:rsid w:val="00183D5B"/>
    <w:pPr>
      <w:ind w:left="1418"/>
    </w:pPr>
  </w:style>
  <w:style w:type="paragraph" w:styleId="List5">
    <w:name w:val="List 5"/>
    <w:basedOn w:val="List4"/>
    <w:semiHidden/>
    <w:rsid w:val="00183D5B"/>
    <w:pPr>
      <w:ind w:left="1702"/>
    </w:pPr>
  </w:style>
  <w:style w:type="paragraph" w:customStyle="1" w:styleId="EditorsNote">
    <w:name w:val="Editor's Note"/>
    <w:basedOn w:val="NO"/>
    <w:rsid w:val="00183D5B"/>
    <w:rPr>
      <w:color w:val="FF0000"/>
    </w:rPr>
  </w:style>
  <w:style w:type="paragraph" w:styleId="List">
    <w:name w:val="List"/>
    <w:basedOn w:val="Normal"/>
    <w:semiHidden/>
    <w:rsid w:val="00183D5B"/>
    <w:pPr>
      <w:ind w:left="568" w:hanging="284"/>
    </w:pPr>
  </w:style>
  <w:style w:type="paragraph" w:styleId="ListBullet">
    <w:name w:val="List Bullet"/>
    <w:basedOn w:val="List"/>
    <w:semiHidden/>
    <w:rsid w:val="00183D5B"/>
  </w:style>
  <w:style w:type="paragraph" w:styleId="ListBullet4">
    <w:name w:val="List Bullet 4"/>
    <w:basedOn w:val="ListBullet3"/>
    <w:semiHidden/>
    <w:rsid w:val="00183D5B"/>
    <w:pPr>
      <w:ind w:left="1418"/>
    </w:pPr>
  </w:style>
  <w:style w:type="paragraph" w:styleId="ListBullet5">
    <w:name w:val="List Bullet 5"/>
    <w:basedOn w:val="ListBullet4"/>
    <w:semiHidden/>
    <w:rsid w:val="00183D5B"/>
    <w:pPr>
      <w:ind w:left="1702"/>
    </w:pPr>
  </w:style>
  <w:style w:type="paragraph" w:customStyle="1" w:styleId="B1">
    <w:name w:val="B1"/>
    <w:basedOn w:val="List"/>
    <w:rsid w:val="00183D5B"/>
  </w:style>
  <w:style w:type="paragraph" w:customStyle="1" w:styleId="B2">
    <w:name w:val="B2"/>
    <w:basedOn w:val="List2"/>
    <w:rsid w:val="00183D5B"/>
  </w:style>
  <w:style w:type="paragraph" w:customStyle="1" w:styleId="B3">
    <w:name w:val="B3"/>
    <w:basedOn w:val="List3"/>
    <w:rsid w:val="00183D5B"/>
  </w:style>
  <w:style w:type="paragraph" w:customStyle="1" w:styleId="B4">
    <w:name w:val="B4"/>
    <w:basedOn w:val="List4"/>
    <w:rsid w:val="00183D5B"/>
  </w:style>
  <w:style w:type="paragraph" w:customStyle="1" w:styleId="B5">
    <w:name w:val="B5"/>
    <w:basedOn w:val="List5"/>
    <w:rsid w:val="00183D5B"/>
  </w:style>
  <w:style w:type="paragraph" w:styleId="Footer">
    <w:name w:val="footer"/>
    <w:basedOn w:val="Header"/>
    <w:semiHidden/>
    <w:rsid w:val="00183D5B"/>
    <w:pPr>
      <w:jc w:val="center"/>
    </w:pPr>
    <w:rPr>
      <w:i/>
    </w:rPr>
  </w:style>
  <w:style w:type="paragraph" w:customStyle="1" w:styleId="ZTD">
    <w:name w:val="ZTD"/>
    <w:basedOn w:val="ZB"/>
    <w:rsid w:val="00183D5B"/>
    <w:pPr>
      <w:framePr w:hRule="auto" w:wrap="notBeside" w:y="852"/>
    </w:pPr>
    <w:rPr>
      <w:i w:val="0"/>
      <w:sz w:val="40"/>
    </w:rPr>
  </w:style>
  <w:style w:type="paragraph" w:styleId="NoSpacing">
    <w:name w:val="No Spacing"/>
    <w:uiPriority w:val="1"/>
    <w:qFormat/>
    <w:rsid w:val="000611C6"/>
    <w:rPr>
      <w:rFonts w:ascii="Times New Roman" w:hAnsi="Times New Roman"/>
      <w:lang w:val="en-US" w:eastAsia="en-US"/>
    </w:rPr>
  </w:style>
  <w:style w:type="paragraph" w:styleId="BodyText">
    <w:name w:val="Body Text"/>
    <w:aliases w:val="bt"/>
    <w:basedOn w:val="Normal"/>
    <w:link w:val="BodyTextChar"/>
    <w:rsid w:val="000611C6"/>
    <w:pPr>
      <w:spacing w:after="120"/>
      <w:jc w:val="both"/>
    </w:pPr>
    <w:rPr>
      <w:rFonts w:ascii="Times" w:eastAsia="SimSun" w:hAnsi="Times"/>
      <w:szCs w:val="24"/>
      <w:lang w:val="en-US" w:eastAsia="en-US"/>
    </w:rPr>
  </w:style>
  <w:style w:type="character" w:customStyle="1" w:styleId="BodyTextChar">
    <w:name w:val="Body Text Char"/>
    <w:aliases w:val="bt Char"/>
    <w:basedOn w:val="DefaultParagraphFont"/>
    <w:link w:val="BodyText"/>
    <w:rsid w:val="000611C6"/>
    <w:rPr>
      <w:rFonts w:ascii="Times" w:eastAsia="SimSun" w:hAnsi="Times"/>
      <w:szCs w:val="24"/>
      <w:lang w:val="en-US" w:eastAsia="en-US"/>
    </w:rPr>
  </w:style>
  <w:style w:type="paragraph" w:styleId="ListParagraph">
    <w:name w:val="List Paragraph"/>
    <w:basedOn w:val="Normal"/>
    <w:uiPriority w:val="34"/>
    <w:qFormat/>
    <w:rsid w:val="00F61AF1"/>
    <w:pPr>
      <w:ind w:left="720"/>
      <w:contextualSpacing/>
    </w:pPr>
  </w:style>
  <w:style w:type="paragraph" w:styleId="Caption">
    <w:name w:val="caption"/>
    <w:basedOn w:val="Normal"/>
    <w:next w:val="Normal"/>
    <w:uiPriority w:val="35"/>
    <w:unhideWhenUsed/>
    <w:qFormat/>
    <w:rsid w:val="0055097D"/>
    <w:rPr>
      <w:b/>
      <w:bCs/>
    </w:rPr>
  </w:style>
  <w:style w:type="table" w:styleId="TableGrid">
    <w:name w:val="Table Grid"/>
    <w:basedOn w:val="TableNormal"/>
    <w:uiPriority w:val="39"/>
    <w:rsid w:val="00EA0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45D0B"/>
    <w:rPr>
      <w:rFonts w:ascii="Times New Roman" w:hAnsi="Times New Roman"/>
    </w:rPr>
  </w:style>
  <w:style w:type="character" w:customStyle="1" w:styleId="TACChar">
    <w:name w:val="TAC Char"/>
    <w:link w:val="TAC"/>
    <w:qFormat/>
    <w:rsid w:val="00253847"/>
    <w:rPr>
      <w:rFonts w:ascii="Arial" w:hAnsi="Arial"/>
      <w:sz w:val="18"/>
      <w:lang w:eastAsia="zh-CN"/>
    </w:rPr>
  </w:style>
  <w:style w:type="character" w:customStyle="1" w:styleId="TAHCar">
    <w:name w:val="TAH Car"/>
    <w:link w:val="TAH"/>
    <w:qFormat/>
    <w:rsid w:val="00253847"/>
    <w:rPr>
      <w:rFonts w:ascii="Arial" w:hAnsi="Arial"/>
      <w:b/>
      <w:sz w:val="18"/>
      <w:lang w:eastAsia="zh-CN"/>
    </w:rPr>
  </w:style>
  <w:style w:type="character" w:customStyle="1" w:styleId="TANChar">
    <w:name w:val="TAN Char"/>
    <w:link w:val="TAN"/>
    <w:qFormat/>
    <w:rsid w:val="00253847"/>
    <w:rPr>
      <w:rFonts w:ascii="Arial" w:hAnsi="Arial"/>
      <w:sz w:val="18"/>
      <w:lang w:eastAsia="zh-CN"/>
    </w:rPr>
  </w:style>
  <w:style w:type="paragraph" w:customStyle="1" w:styleId="TableParagraph">
    <w:name w:val="Table Paragraph"/>
    <w:basedOn w:val="Normal"/>
    <w:uiPriority w:val="1"/>
    <w:qFormat/>
    <w:rsid w:val="00AC77A0"/>
    <w:pPr>
      <w:widowControl w:val="0"/>
      <w:overflowPunct/>
      <w:adjustRightInd/>
      <w:spacing w:after="0"/>
      <w:ind w:left="18"/>
      <w:jc w:val="center"/>
      <w:textAlignment w:val="auto"/>
    </w:pPr>
    <w:rPr>
      <w:rFonts w:ascii="Arial" w:eastAsia="Arial" w:hAnsi="Arial" w:cs="Arial"/>
      <w:sz w:val="22"/>
      <w:szCs w:val="22"/>
      <w:lang w:val="en-US" w:eastAsia="en-US"/>
    </w:rPr>
  </w:style>
  <w:style w:type="character" w:styleId="Hyperlink">
    <w:name w:val="Hyperlink"/>
    <w:basedOn w:val="DefaultParagraphFont"/>
    <w:uiPriority w:val="99"/>
    <w:unhideWhenUsed/>
    <w:rsid w:val="00F31FC0"/>
    <w:rPr>
      <w:color w:val="467886" w:themeColor="hyperlink"/>
      <w:u w:val="single"/>
    </w:rPr>
  </w:style>
  <w:style w:type="character" w:styleId="UnresolvedMention">
    <w:name w:val="Unresolved Mention"/>
    <w:basedOn w:val="DefaultParagraphFont"/>
    <w:uiPriority w:val="99"/>
    <w:semiHidden/>
    <w:unhideWhenUsed/>
    <w:rsid w:val="00F31FC0"/>
    <w:rPr>
      <w:color w:val="605E5C"/>
      <w:shd w:val="clear" w:color="auto" w:fill="E1DFDD"/>
    </w:rPr>
  </w:style>
  <w:style w:type="paragraph" w:customStyle="1" w:styleId="Table">
    <w:name w:val="Table_#"/>
    <w:basedOn w:val="Normal"/>
    <w:next w:val="Normal"/>
    <w:rsid w:val="00302C3F"/>
    <w:pPr>
      <w:keepNext/>
      <w:spacing w:before="567" w:after="113"/>
      <w:jc w:val="center"/>
    </w:pPr>
    <w:rPr>
      <w:sz w:val="18"/>
      <w:lang w:eastAsia="en-US"/>
    </w:rPr>
  </w:style>
  <w:style w:type="paragraph" w:customStyle="1" w:styleId="TableText">
    <w:name w:val="Table_Text"/>
    <w:basedOn w:val="Normal"/>
    <w:rsid w:val="00302C3F"/>
    <w:pPr>
      <w:keepNext/>
      <w:tabs>
        <w:tab w:val="left" w:pos="794"/>
        <w:tab w:val="left" w:pos="1191"/>
        <w:tab w:val="left" w:pos="1588"/>
        <w:tab w:val="left" w:pos="1985"/>
      </w:tabs>
      <w:spacing w:before="100" w:after="100" w:line="190" w:lineRule="exact"/>
      <w:jc w:val="both"/>
    </w:pPr>
    <w:rPr>
      <w:sz w:val="18"/>
      <w:lang w:eastAsia="en-US"/>
    </w:rPr>
  </w:style>
  <w:style w:type="paragraph" w:customStyle="1" w:styleId="TableLegend">
    <w:name w:val="Table_Legend"/>
    <w:basedOn w:val="Normal"/>
    <w:next w:val="Normal"/>
    <w:rsid w:val="00A045F6"/>
    <w:pPr>
      <w:keepNext/>
      <w:tabs>
        <w:tab w:val="left" w:pos="794"/>
        <w:tab w:val="left" w:pos="1191"/>
        <w:tab w:val="left" w:pos="1588"/>
        <w:tab w:val="left" w:pos="1985"/>
      </w:tabs>
      <w:spacing w:before="86" w:after="0" w:line="199" w:lineRule="exact"/>
      <w:ind w:left="-85" w:right="-85"/>
      <w:jc w:val="both"/>
    </w:pPr>
    <w:rPr>
      <w:sz w:val="18"/>
      <w:lang w:eastAsia="en-US"/>
    </w:rPr>
  </w:style>
  <w:style w:type="paragraph" w:customStyle="1" w:styleId="Note">
    <w:name w:val="Note"/>
    <w:basedOn w:val="Normal"/>
    <w:next w:val="Normal"/>
    <w:rsid w:val="00A045F6"/>
    <w:pPr>
      <w:spacing w:before="80" w:after="0"/>
      <w:jc w:val="both"/>
    </w:pPr>
    <w:rPr>
      <w:lang w:eastAsia="en-US"/>
    </w:rPr>
  </w:style>
  <w:style w:type="paragraph" w:styleId="TableofFigures">
    <w:name w:val="table of figures"/>
    <w:basedOn w:val="Normal"/>
    <w:next w:val="Normal"/>
    <w:uiPriority w:val="99"/>
    <w:unhideWhenUsed/>
    <w:rsid w:val="006B7C37"/>
    <w:pPr>
      <w:spacing w:after="0"/>
    </w:pPr>
  </w:style>
  <w:style w:type="paragraph" w:customStyle="1" w:styleId="TableTitle">
    <w:name w:val="Table_Title"/>
    <w:basedOn w:val="Table"/>
    <w:next w:val="Normal"/>
    <w:rsid w:val="00952AE1"/>
    <w:pPr>
      <w:spacing w:before="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ander.Rhodes\OneDrive%20-%20inmarsat.com\Misc\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D71EB0-96B6-4102-8241-1FCF105F38C2}">
  <ds:schemaRefs>
    <ds:schemaRef ds:uri="http://schemas.microsoft.com/sharepoint/v3/contenttype/forms"/>
  </ds:schemaRefs>
</ds:datastoreItem>
</file>

<file path=customXml/itemProps2.xml><?xml version="1.0" encoding="utf-8"?>
<ds:datastoreItem xmlns:ds="http://schemas.openxmlformats.org/officeDocument/2006/customXml" ds:itemID="{ED012F14-1A12-4E8F-A673-623AD1C9104F}">
  <ds:schemaRefs>
    <ds:schemaRef ds:uri="http://schemas.openxmlformats.org/officeDocument/2006/bibliography"/>
  </ds:schemaRefs>
</ds:datastoreItem>
</file>

<file path=customXml/itemProps3.xml><?xml version="1.0" encoding="utf-8"?>
<ds:datastoreItem xmlns:ds="http://schemas.openxmlformats.org/officeDocument/2006/customXml" ds:itemID="{7005096D-773F-4C5D-A1FF-51EDCDC9A3B3}">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4.xml><?xml version="1.0" encoding="utf-8"?>
<ds:datastoreItem xmlns:ds="http://schemas.openxmlformats.org/officeDocument/2006/customXml" ds:itemID="{A629DED8-60D6-4111-A6A2-6C4FD4F293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1353</Words>
  <Characters>7716</Characters>
  <Application>Microsoft Office Word</Application>
  <DocSecurity>0</DocSecurity>
  <Lines>64</Lines>
  <Paragraphs>18</Paragraphs>
  <ScaleCrop>false</ScaleCrop>
  <Company>ETSI Sophia Antipolis</Company>
  <LinksUpToDate>false</LinksUpToDate>
  <CharactersWithSpaces>9051</CharactersWithSpaces>
  <SharedDoc>false</SharedDoc>
  <HLinks>
    <vt:vector size="156" baseType="variant">
      <vt:variant>
        <vt:i4>65656</vt:i4>
      </vt:variant>
      <vt:variant>
        <vt:i4>168</vt:i4>
      </vt:variant>
      <vt:variant>
        <vt:i4>0</vt:i4>
      </vt:variant>
      <vt:variant>
        <vt:i4>5</vt:i4>
      </vt:variant>
      <vt:variant>
        <vt:lpwstr>https://www.ntia.doc.gov/files/ntia/publications/compendium/1660.00-1660.50_01MAY15.pdf</vt:lpwstr>
      </vt:variant>
      <vt:variant>
        <vt:lpwstr/>
      </vt:variant>
      <vt:variant>
        <vt:i4>917546</vt:i4>
      </vt:variant>
      <vt:variant>
        <vt:i4>165</vt:i4>
      </vt:variant>
      <vt:variant>
        <vt:i4>0</vt:i4>
      </vt:variant>
      <vt:variant>
        <vt:i4>5</vt:i4>
      </vt:variant>
      <vt:variant>
        <vt:lpwstr>https://www.ntia.gov/files/ntia/publications/compendium/1660.50-1668.40_01DEC15.pdf</vt:lpwstr>
      </vt:variant>
      <vt:variant>
        <vt:lpwstr/>
      </vt:variant>
      <vt:variant>
        <vt:i4>5767180</vt:i4>
      </vt:variant>
      <vt:variant>
        <vt:i4>162</vt:i4>
      </vt:variant>
      <vt:variant>
        <vt:i4>0</vt:i4>
      </vt:variant>
      <vt:variant>
        <vt:i4>5</vt:i4>
      </vt:variant>
      <vt:variant>
        <vt:lpwstr>https://www.ecfr.gov/current/title-47/chapter-I/subchapter-B/part-25</vt:lpwstr>
      </vt:variant>
      <vt:variant>
        <vt:lpwstr>p-25.202</vt:lpwstr>
      </vt:variant>
      <vt:variant>
        <vt:i4>6357026</vt:i4>
      </vt:variant>
      <vt:variant>
        <vt:i4>159</vt:i4>
      </vt:variant>
      <vt:variant>
        <vt:i4>0</vt:i4>
      </vt:variant>
      <vt:variant>
        <vt:i4>5</vt:i4>
      </vt:variant>
      <vt:variant>
        <vt:lpwstr>https://www.ecfr.gov/current/title-47/chapter-I/subchapter-A/part-2/subpart-B/section-2.106</vt:lpwstr>
      </vt:variant>
      <vt:variant>
        <vt:lpwstr/>
      </vt:variant>
      <vt:variant>
        <vt:i4>7274604</vt:i4>
      </vt:variant>
      <vt:variant>
        <vt:i4>156</vt:i4>
      </vt:variant>
      <vt:variant>
        <vt:i4>0</vt:i4>
      </vt:variant>
      <vt:variant>
        <vt:i4>5</vt:i4>
      </vt:variant>
      <vt:variant>
        <vt:lpwstr>https://www.etsi.org/deliver/etsi_en/301600_301699/301681/02.01.02_60/en_301681v020102p.pdf</vt:lpwstr>
      </vt:variant>
      <vt:variant>
        <vt:lpwstr/>
      </vt:variant>
      <vt:variant>
        <vt:i4>3670126</vt:i4>
      </vt:variant>
      <vt:variant>
        <vt:i4>153</vt:i4>
      </vt:variant>
      <vt:variant>
        <vt:i4>0</vt:i4>
      </vt:variant>
      <vt:variant>
        <vt:i4>5</vt:i4>
      </vt:variant>
      <vt:variant>
        <vt:lpwstr>https://www.itu.int/rec/R-REC-M.1480-0-200005-I/en</vt:lpwstr>
      </vt:variant>
      <vt:variant>
        <vt:lpwstr/>
      </vt:variant>
      <vt:variant>
        <vt:i4>1441848</vt:i4>
      </vt:variant>
      <vt:variant>
        <vt:i4>149</vt:i4>
      </vt:variant>
      <vt:variant>
        <vt:i4>0</vt:i4>
      </vt:variant>
      <vt:variant>
        <vt:i4>5</vt:i4>
      </vt:variant>
      <vt:variant>
        <vt:lpwstr/>
      </vt:variant>
      <vt:variant>
        <vt:lpwstr>_Toc179739381</vt:lpwstr>
      </vt:variant>
      <vt:variant>
        <vt:i4>1441848</vt:i4>
      </vt:variant>
      <vt:variant>
        <vt:i4>146</vt:i4>
      </vt:variant>
      <vt:variant>
        <vt:i4>0</vt:i4>
      </vt:variant>
      <vt:variant>
        <vt:i4>5</vt:i4>
      </vt:variant>
      <vt:variant>
        <vt:lpwstr/>
      </vt:variant>
      <vt:variant>
        <vt:lpwstr>_Toc179739380</vt:lpwstr>
      </vt:variant>
      <vt:variant>
        <vt:i4>1638456</vt:i4>
      </vt:variant>
      <vt:variant>
        <vt:i4>143</vt:i4>
      </vt:variant>
      <vt:variant>
        <vt:i4>0</vt:i4>
      </vt:variant>
      <vt:variant>
        <vt:i4>5</vt:i4>
      </vt:variant>
      <vt:variant>
        <vt:lpwstr/>
      </vt:variant>
      <vt:variant>
        <vt:lpwstr>_Toc179739379</vt:lpwstr>
      </vt:variant>
      <vt:variant>
        <vt:i4>1638456</vt:i4>
      </vt:variant>
      <vt:variant>
        <vt:i4>140</vt:i4>
      </vt:variant>
      <vt:variant>
        <vt:i4>0</vt:i4>
      </vt:variant>
      <vt:variant>
        <vt:i4>5</vt:i4>
      </vt:variant>
      <vt:variant>
        <vt:lpwstr/>
      </vt:variant>
      <vt:variant>
        <vt:lpwstr>_Toc179739378</vt:lpwstr>
      </vt:variant>
      <vt:variant>
        <vt:i4>1638456</vt:i4>
      </vt:variant>
      <vt:variant>
        <vt:i4>137</vt:i4>
      </vt:variant>
      <vt:variant>
        <vt:i4>0</vt:i4>
      </vt:variant>
      <vt:variant>
        <vt:i4>5</vt:i4>
      </vt:variant>
      <vt:variant>
        <vt:lpwstr/>
      </vt:variant>
      <vt:variant>
        <vt:lpwstr>_Toc179739377</vt:lpwstr>
      </vt:variant>
      <vt:variant>
        <vt:i4>1638456</vt:i4>
      </vt:variant>
      <vt:variant>
        <vt:i4>134</vt:i4>
      </vt:variant>
      <vt:variant>
        <vt:i4>0</vt:i4>
      </vt:variant>
      <vt:variant>
        <vt:i4>5</vt:i4>
      </vt:variant>
      <vt:variant>
        <vt:lpwstr/>
      </vt:variant>
      <vt:variant>
        <vt:lpwstr>_Toc179739376</vt:lpwstr>
      </vt:variant>
      <vt:variant>
        <vt:i4>1638456</vt:i4>
      </vt:variant>
      <vt:variant>
        <vt:i4>131</vt:i4>
      </vt:variant>
      <vt:variant>
        <vt:i4>0</vt:i4>
      </vt:variant>
      <vt:variant>
        <vt:i4>5</vt:i4>
      </vt:variant>
      <vt:variant>
        <vt:lpwstr/>
      </vt:variant>
      <vt:variant>
        <vt:lpwstr>_Toc179739375</vt:lpwstr>
      </vt:variant>
      <vt:variant>
        <vt:i4>1638456</vt:i4>
      </vt:variant>
      <vt:variant>
        <vt:i4>128</vt:i4>
      </vt:variant>
      <vt:variant>
        <vt:i4>0</vt:i4>
      </vt:variant>
      <vt:variant>
        <vt:i4>5</vt:i4>
      </vt:variant>
      <vt:variant>
        <vt:lpwstr/>
      </vt:variant>
      <vt:variant>
        <vt:lpwstr>_Toc179739374</vt:lpwstr>
      </vt:variant>
      <vt:variant>
        <vt:i4>1638456</vt:i4>
      </vt:variant>
      <vt:variant>
        <vt:i4>125</vt:i4>
      </vt:variant>
      <vt:variant>
        <vt:i4>0</vt:i4>
      </vt:variant>
      <vt:variant>
        <vt:i4>5</vt:i4>
      </vt:variant>
      <vt:variant>
        <vt:lpwstr/>
      </vt:variant>
      <vt:variant>
        <vt:lpwstr>_Toc179739373</vt:lpwstr>
      </vt:variant>
      <vt:variant>
        <vt:i4>1638456</vt:i4>
      </vt:variant>
      <vt:variant>
        <vt:i4>122</vt:i4>
      </vt:variant>
      <vt:variant>
        <vt:i4>0</vt:i4>
      </vt:variant>
      <vt:variant>
        <vt:i4>5</vt:i4>
      </vt:variant>
      <vt:variant>
        <vt:lpwstr/>
      </vt:variant>
      <vt:variant>
        <vt:lpwstr>_Toc179739372</vt:lpwstr>
      </vt:variant>
      <vt:variant>
        <vt:i4>1638456</vt:i4>
      </vt:variant>
      <vt:variant>
        <vt:i4>119</vt:i4>
      </vt:variant>
      <vt:variant>
        <vt:i4>0</vt:i4>
      </vt:variant>
      <vt:variant>
        <vt:i4>5</vt:i4>
      </vt:variant>
      <vt:variant>
        <vt:lpwstr/>
      </vt:variant>
      <vt:variant>
        <vt:lpwstr>_Toc179739371</vt:lpwstr>
      </vt:variant>
      <vt:variant>
        <vt:i4>2031677</vt:i4>
      </vt:variant>
      <vt:variant>
        <vt:i4>113</vt:i4>
      </vt:variant>
      <vt:variant>
        <vt:i4>0</vt:i4>
      </vt:variant>
      <vt:variant>
        <vt:i4>5</vt:i4>
      </vt:variant>
      <vt:variant>
        <vt:lpwstr/>
      </vt:variant>
      <vt:variant>
        <vt:lpwstr>_Toc179739617</vt:lpwstr>
      </vt:variant>
      <vt:variant>
        <vt:i4>2031677</vt:i4>
      </vt:variant>
      <vt:variant>
        <vt:i4>110</vt:i4>
      </vt:variant>
      <vt:variant>
        <vt:i4>0</vt:i4>
      </vt:variant>
      <vt:variant>
        <vt:i4>5</vt:i4>
      </vt:variant>
      <vt:variant>
        <vt:lpwstr/>
      </vt:variant>
      <vt:variant>
        <vt:lpwstr>_Toc179739616</vt:lpwstr>
      </vt:variant>
      <vt:variant>
        <vt:i4>2031677</vt:i4>
      </vt:variant>
      <vt:variant>
        <vt:i4>107</vt:i4>
      </vt:variant>
      <vt:variant>
        <vt:i4>0</vt:i4>
      </vt:variant>
      <vt:variant>
        <vt:i4>5</vt:i4>
      </vt:variant>
      <vt:variant>
        <vt:lpwstr/>
      </vt:variant>
      <vt:variant>
        <vt:lpwstr>_Toc179739615</vt:lpwstr>
      </vt:variant>
      <vt:variant>
        <vt:i4>2031677</vt:i4>
      </vt:variant>
      <vt:variant>
        <vt:i4>104</vt:i4>
      </vt:variant>
      <vt:variant>
        <vt:i4>0</vt:i4>
      </vt:variant>
      <vt:variant>
        <vt:i4>5</vt:i4>
      </vt:variant>
      <vt:variant>
        <vt:lpwstr/>
      </vt:variant>
      <vt:variant>
        <vt:lpwstr>_Toc179739614</vt:lpwstr>
      </vt:variant>
      <vt:variant>
        <vt:i4>2031677</vt:i4>
      </vt:variant>
      <vt:variant>
        <vt:i4>101</vt:i4>
      </vt:variant>
      <vt:variant>
        <vt:i4>0</vt:i4>
      </vt:variant>
      <vt:variant>
        <vt:i4>5</vt:i4>
      </vt:variant>
      <vt:variant>
        <vt:lpwstr/>
      </vt:variant>
      <vt:variant>
        <vt:lpwstr>_Toc179739613</vt:lpwstr>
      </vt:variant>
      <vt:variant>
        <vt:i4>2031677</vt:i4>
      </vt:variant>
      <vt:variant>
        <vt:i4>98</vt:i4>
      </vt:variant>
      <vt:variant>
        <vt:i4>0</vt:i4>
      </vt:variant>
      <vt:variant>
        <vt:i4>5</vt:i4>
      </vt:variant>
      <vt:variant>
        <vt:lpwstr/>
      </vt:variant>
      <vt:variant>
        <vt:lpwstr>_Toc179739612</vt:lpwstr>
      </vt:variant>
      <vt:variant>
        <vt:i4>2031677</vt:i4>
      </vt:variant>
      <vt:variant>
        <vt:i4>95</vt:i4>
      </vt:variant>
      <vt:variant>
        <vt:i4>0</vt:i4>
      </vt:variant>
      <vt:variant>
        <vt:i4>5</vt:i4>
      </vt:variant>
      <vt:variant>
        <vt:lpwstr/>
      </vt:variant>
      <vt:variant>
        <vt:lpwstr>_Toc179739611</vt:lpwstr>
      </vt:variant>
      <vt:variant>
        <vt:i4>2031677</vt:i4>
      </vt:variant>
      <vt:variant>
        <vt:i4>92</vt:i4>
      </vt:variant>
      <vt:variant>
        <vt:i4>0</vt:i4>
      </vt:variant>
      <vt:variant>
        <vt:i4>5</vt:i4>
      </vt:variant>
      <vt:variant>
        <vt:lpwstr/>
      </vt:variant>
      <vt:variant>
        <vt:lpwstr>_Toc179739610</vt:lpwstr>
      </vt:variant>
      <vt:variant>
        <vt:i4>1966141</vt:i4>
      </vt:variant>
      <vt:variant>
        <vt:i4>89</vt:i4>
      </vt:variant>
      <vt:variant>
        <vt:i4>0</vt:i4>
      </vt:variant>
      <vt:variant>
        <vt:i4>5</vt:i4>
      </vt:variant>
      <vt:variant>
        <vt:lpwstr/>
      </vt:variant>
      <vt:variant>
        <vt:lpwstr>_Toc179739609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Alexander Rhodes</dc:creator>
  <cp:keywords>ESA, style sheet, Winword</cp:keywords>
  <dc:description/>
  <cp:lastModifiedBy>Alexander Rhodes</cp:lastModifiedBy>
  <cp:revision>55</cp:revision>
  <cp:lastPrinted>1900-01-01T08:00:00Z</cp:lastPrinted>
  <dcterms:created xsi:type="dcterms:W3CDTF">2024-10-31T11:51:00Z</dcterms:created>
  <dcterms:modified xsi:type="dcterms:W3CDTF">2024-11-08T09:29:00Z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0x010100B98573469650B343AF314866C5FCEB84</vt:lpwstr>
  </property>
  <property fmtid="{D5CDD505-2E9C-101B-9397-08002B2CF9AE}" pid="3" name="MediaServiceImageTags">
    <vt:lpwstr/>
  </property>
</Properties>
</file>